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青海省</w:t>
      </w:r>
      <w:r>
        <w:rPr>
          <w:rFonts w:hint="eastAsia" w:ascii="Times New Roman" w:hAnsi="Times New Roman" w:eastAsia="方正小标宋简体" w:cs="Times New Roman"/>
          <w:sz w:val="44"/>
          <w:szCs w:val="44"/>
          <w:lang w:eastAsia="zh-CN"/>
        </w:rPr>
        <w:t>重点领域</w:t>
      </w:r>
      <w:r>
        <w:rPr>
          <w:rFonts w:hint="eastAsia" w:ascii="Times New Roman" w:hAnsi="Times New Roman" w:eastAsia="方正小标宋简体" w:cs="Times New Roman"/>
          <w:sz w:val="44"/>
          <w:szCs w:val="44"/>
          <w:lang w:val="en-US" w:eastAsia="zh-CN"/>
        </w:rPr>
        <w:t>有色金属冶炼</w:t>
      </w:r>
      <w:r>
        <w:rPr>
          <w:rFonts w:hint="eastAsia" w:ascii="Times New Roman" w:hAnsi="Times New Roman" w:eastAsia="方正小标宋简体" w:cs="Times New Roman"/>
          <w:sz w:val="44"/>
          <w:szCs w:val="44"/>
          <w:lang w:eastAsia="zh-CN"/>
        </w:rPr>
        <w:t>行业</w:t>
      </w:r>
      <w:r>
        <w:rPr>
          <w:rFonts w:hint="default" w:ascii="Times New Roman" w:hAnsi="Times New Roman" w:eastAsia="方正小标宋简体" w:cs="Times New Roman"/>
          <w:sz w:val="44"/>
          <w:szCs w:val="44"/>
          <w:lang w:eastAsia="zh-CN"/>
        </w:rPr>
        <w:t>节能降碳技术改造</w:t>
      </w:r>
      <w:r>
        <w:rPr>
          <w:rFonts w:hint="eastAsia" w:ascii="Times New Roman" w:hAnsi="Times New Roman" w:eastAsia="方正小标宋简体" w:cs="Times New Roman"/>
          <w:sz w:val="44"/>
          <w:szCs w:val="44"/>
          <w:lang w:eastAsia="zh-CN"/>
        </w:rPr>
        <w:t>工作</w:t>
      </w:r>
      <w:r>
        <w:rPr>
          <w:rFonts w:hint="default" w:ascii="Times New Roman" w:hAnsi="Times New Roman" w:eastAsia="方正小标宋简体" w:cs="Times New Roman"/>
          <w:sz w:val="44"/>
          <w:szCs w:val="44"/>
          <w:lang w:eastAsia="zh-CN"/>
        </w:rPr>
        <w:t>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kern w:val="0"/>
          <w:sz w:val="32"/>
          <w:szCs w:val="32"/>
          <w:lang w:val="en-US" w:eastAsia="zh-CN"/>
        </w:rPr>
        <w:t>为坚决遏制“两高”项目盲目发展，推动我省</w:t>
      </w:r>
      <w:r>
        <w:rPr>
          <w:rFonts w:hint="eastAsia" w:ascii="仿宋_GB2312" w:hAnsi="仿宋_GB2312" w:eastAsia="仿宋_GB2312" w:cs="仿宋_GB2312"/>
          <w:sz w:val="32"/>
          <w:szCs w:val="32"/>
          <w:lang w:eastAsia="zh-CN"/>
        </w:rPr>
        <w:t>电解铝、铜冶炼、铅冶炼、锌冶炼等</w:t>
      </w:r>
      <w:r>
        <w:rPr>
          <w:rFonts w:hint="eastAsia" w:ascii="仿宋_GB2312" w:hAnsi="仿宋_GB2312" w:eastAsia="仿宋_GB2312" w:cs="仿宋_GB2312"/>
          <w:color w:val="auto"/>
          <w:kern w:val="0"/>
          <w:sz w:val="32"/>
          <w:szCs w:val="32"/>
          <w:lang w:val="en-US" w:eastAsia="zh-CN"/>
        </w:rPr>
        <w:t>行业</w:t>
      </w:r>
      <w:r>
        <w:rPr>
          <w:rFonts w:hint="eastAsia" w:ascii="仿宋_GB2312" w:hAnsi="仿宋_GB2312" w:eastAsia="仿宋_GB2312" w:cs="仿宋_GB2312"/>
          <w:sz w:val="32"/>
          <w:szCs w:val="32"/>
          <w:lang w:eastAsia="zh-CN"/>
        </w:rPr>
        <w:t>节能降碳和绿色转型，依据《青海省严格能效约束推动重点领域节能降碳技术改造实施方案（2021-2025年）》（青发改产业〔2021〕848号）和《青海省重点领域企业</w:t>
      </w:r>
      <w:r>
        <w:rPr>
          <w:rFonts w:hint="eastAsia" w:ascii="仿宋_GB2312" w:hAnsi="仿宋_GB2312" w:eastAsia="仿宋_GB2312" w:cs="仿宋_GB2312"/>
          <w:sz w:val="32"/>
          <w:szCs w:val="32"/>
          <w:lang w:val="en-US" w:eastAsia="zh-CN"/>
        </w:rPr>
        <w:t>节能降碳</w:t>
      </w:r>
      <w:r>
        <w:rPr>
          <w:rFonts w:hint="eastAsia" w:ascii="仿宋_GB2312" w:hAnsi="仿宋_GB2312" w:eastAsia="仿宋_GB2312" w:cs="仿宋_GB2312"/>
          <w:sz w:val="32"/>
          <w:szCs w:val="32"/>
          <w:lang w:eastAsia="zh-CN"/>
        </w:rPr>
        <w:t>技术改造</w:t>
      </w:r>
      <w:r>
        <w:rPr>
          <w:rFonts w:hint="eastAsia" w:ascii="仿宋_GB2312" w:hAnsi="仿宋_GB2312" w:eastAsia="仿宋_GB2312" w:cs="仿宋_GB2312"/>
          <w:sz w:val="32"/>
          <w:szCs w:val="32"/>
          <w:lang w:val="en-US" w:eastAsia="zh-CN"/>
        </w:rPr>
        <w:t>总体</w:t>
      </w:r>
      <w:r>
        <w:rPr>
          <w:rFonts w:hint="eastAsia" w:ascii="仿宋_GB2312" w:hAnsi="仿宋_GB2312" w:eastAsia="仿宋_GB2312" w:cs="仿宋_GB2312"/>
          <w:sz w:val="32"/>
          <w:szCs w:val="32"/>
          <w:lang w:eastAsia="zh-CN"/>
        </w:rPr>
        <w:t>实施方案》，制定本方案。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全省现有电解铝企业</w:t>
      </w:r>
      <w:r>
        <w:rPr>
          <w:rFonts w:hint="eastAsia" w:ascii="仿宋_GB2312" w:hAnsi="仿宋_GB2312" w:eastAsia="仿宋_GB2312" w:cs="仿宋_GB2312"/>
          <w:sz w:val="32"/>
          <w:szCs w:val="32"/>
          <w:lang w:val="en-US" w:eastAsia="zh-CN"/>
        </w:rPr>
        <w:t>8户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4"/>
          <w:sz w:val="32"/>
          <w:szCs w:val="30"/>
          <w:lang w:eastAsia="zh-CN"/>
        </w:rPr>
        <w:t>设计总产能</w:t>
      </w:r>
      <w:r>
        <w:rPr>
          <w:rFonts w:hint="eastAsia" w:ascii="仿宋_GB2312" w:hAnsi="仿宋_GB2312" w:eastAsia="仿宋_GB2312" w:cs="仿宋_GB2312"/>
          <w:spacing w:val="-4"/>
          <w:sz w:val="32"/>
          <w:szCs w:val="30"/>
          <w:lang w:val="en-US" w:eastAsia="zh-CN"/>
        </w:rPr>
        <w:t>296.5万吨，</w:t>
      </w:r>
      <w:r>
        <w:rPr>
          <w:rFonts w:hint="eastAsia" w:ascii="仿宋_GB2312" w:hAnsi="仿宋_GB2312" w:eastAsia="仿宋_GB2312" w:cs="仿宋_GB2312"/>
          <w:sz w:val="32"/>
          <w:szCs w:val="32"/>
          <w:lang w:val="en-US" w:eastAsia="zh-CN"/>
        </w:rPr>
        <w:t>能效全部达到基准水平，无达到标杆水平企业</w:t>
      </w:r>
      <w:r>
        <w:rPr>
          <w:rFonts w:hint="eastAsia" w:ascii="仿宋_GB2312" w:hAnsi="仿宋_GB2312" w:eastAsia="仿宋_GB2312" w:cs="仿宋_GB2312"/>
          <w:spacing w:val="-4"/>
          <w:sz w:val="32"/>
          <w:szCs w:val="30"/>
          <w:lang w:val="en-US" w:eastAsia="zh-CN"/>
        </w:rPr>
        <w:t>；</w:t>
      </w:r>
      <w:r>
        <w:rPr>
          <w:rFonts w:hint="eastAsia" w:ascii="仿宋_GB2312" w:hAnsi="仿宋_GB2312" w:eastAsia="仿宋_GB2312" w:cs="仿宋_GB2312"/>
          <w:sz w:val="32"/>
          <w:szCs w:val="32"/>
          <w:lang w:val="en-US" w:eastAsia="zh-CN"/>
        </w:rPr>
        <w:t>铅、锌、铜冶炼</w:t>
      </w:r>
      <w:r>
        <w:rPr>
          <w:rFonts w:hint="eastAsia" w:ascii="仿宋_GB2312" w:hAnsi="仿宋_GB2312" w:eastAsia="仿宋_GB2312" w:cs="仿宋_GB2312"/>
          <w:sz w:val="32"/>
          <w:szCs w:val="32"/>
          <w:lang w:eastAsia="zh-CN"/>
        </w:rPr>
        <w:t>企业各</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户，设计产能均为</w:t>
      </w:r>
      <w:r>
        <w:rPr>
          <w:rFonts w:hint="eastAsia" w:ascii="仿宋_GB2312" w:hAnsi="仿宋_GB2312" w:eastAsia="仿宋_GB2312" w:cs="仿宋_GB2312"/>
          <w:sz w:val="32"/>
          <w:szCs w:val="32"/>
          <w:lang w:val="en-US" w:eastAsia="zh-CN"/>
        </w:rPr>
        <w:t>10万吨，能效全部达到基准水平，无达到标杆水平企业。（详见附件</w:t>
      </w:r>
      <w:r>
        <w:rPr>
          <w:rFonts w:hint="eastAsia" w:ascii="仿宋_GB2312" w:hAnsi="仿宋_GB2312" w:eastAsia="仿宋_GB2312" w:cs="仿宋_GB2312"/>
          <w:sz w:val="32"/>
          <w:szCs w:val="32"/>
          <w:lang w:val="en" w:eastAsia="zh-CN"/>
        </w:rPr>
        <w:t>2</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二</w:t>
      </w:r>
      <w:r>
        <w:rPr>
          <w:rFonts w:hint="eastAsia" w:ascii="黑体" w:hAnsi="黑体" w:eastAsia="黑体" w:cs="黑体"/>
          <w:sz w:val="32"/>
          <w:szCs w:val="32"/>
          <w:lang w:eastAsia="zh-CN"/>
        </w:rPr>
        <w:t>、工作目标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到2025年，现有</w:t>
      </w:r>
      <w:r>
        <w:rPr>
          <w:rFonts w:hint="eastAsia" w:ascii="仿宋_GB2312" w:hAnsi="仿宋_GB2312" w:eastAsia="仿宋_GB2312" w:cs="仿宋_GB2312"/>
          <w:sz w:val="32"/>
          <w:szCs w:val="32"/>
          <w:lang w:eastAsia="zh-CN"/>
        </w:rPr>
        <w:t>电解铝、</w:t>
      </w:r>
      <w:r>
        <w:rPr>
          <w:rFonts w:hint="eastAsia" w:ascii="仿宋_GB2312" w:hAnsi="仿宋_GB2312" w:eastAsia="仿宋_GB2312" w:cs="仿宋_GB2312"/>
          <w:sz w:val="32"/>
          <w:szCs w:val="32"/>
          <w:lang w:val="en-US" w:eastAsia="zh-CN"/>
        </w:rPr>
        <w:t>铅、锌、铜冶炼</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lang w:val="en-US" w:eastAsia="zh-CN"/>
        </w:rPr>
        <w:t>要依据各自技术改造方案明确的技术路线，按照时间节点稳步推进技改工作，达到预期目标。黄河鑫业有限公司实施技术改造，中国铝业股份有限公司青海分公司实施产能置换后，能效达到标杆水平，其它企业能效力争达到标杆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320" w:firstLineChars="100"/>
        <w:jc w:val="both"/>
        <w:textAlignment w:val="auto"/>
        <w:outlineLvl w:val="9"/>
        <w:rPr>
          <w:rFonts w:hint="default" w:ascii="Times New Roman" w:hAnsi="Times New Roman" w:eastAsia="黑体" w:cs="Times New Roman"/>
          <w:color w:val="auto"/>
          <w:sz w:val="32"/>
          <w:szCs w:val="32"/>
          <w:highlight w:val="none"/>
          <w:lang w:eastAsia="zh-CN"/>
        </w:rPr>
      </w:pPr>
      <w:r>
        <w:rPr>
          <w:rFonts w:hint="eastAsia" w:ascii="Times New Roman" w:hAnsi="Times New Roman" w:eastAsia="黑体" w:cs="Times New Roman"/>
          <w:color w:val="auto"/>
          <w:sz w:val="32"/>
          <w:szCs w:val="32"/>
          <w:highlight w:val="none"/>
          <w:lang w:val="en-US" w:eastAsia="zh-CN"/>
        </w:rPr>
        <w:t>三、</w:t>
      </w:r>
      <w:r>
        <w:rPr>
          <w:rFonts w:hint="default" w:ascii="Times New Roman" w:hAnsi="Times New Roman" w:eastAsia="黑体" w:cs="Times New Roman"/>
          <w:color w:val="auto"/>
          <w:sz w:val="32"/>
          <w:szCs w:val="32"/>
          <w:highlight w:val="none"/>
          <w:lang w:eastAsia="zh-CN"/>
        </w:rPr>
        <w:t>重点任务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分类推动能效水平提升</w:t>
      </w:r>
      <w:r>
        <w:rPr>
          <w:rFonts w:hint="eastAsia" w:ascii="Times New Roman" w:hAnsi="Times New Roman" w:eastAsia="楷体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kern w:val="0"/>
          <w:sz w:val="32"/>
          <w:szCs w:val="32"/>
          <w:lang w:val="en-US" w:eastAsia="zh-CN"/>
        </w:rPr>
        <w:t>省、市（州）工信部门要根据《青海省有色金属冶炼企业节能技术改造项目清单》（详见附件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color w:val="auto"/>
          <w:kern w:val="0"/>
          <w:sz w:val="32"/>
          <w:szCs w:val="32"/>
          <w:lang w:val="en-US" w:eastAsia="zh-CN"/>
        </w:rPr>
        <w:t>），认真组织企业分年度实施项目建设，分类做好企业能效水平提升工作。</w:t>
      </w:r>
      <w:r>
        <w:rPr>
          <w:rFonts w:hint="eastAsia" w:ascii="仿宋_GB2312" w:hAnsi="仿宋_GB2312" w:eastAsia="仿宋_GB2312" w:cs="仿宋_GB2312"/>
          <w:b/>
          <w:bCs/>
          <w:color w:val="auto"/>
          <w:kern w:val="0"/>
          <w:sz w:val="32"/>
          <w:szCs w:val="32"/>
          <w:lang w:val="en-US" w:eastAsia="zh-CN"/>
        </w:rPr>
        <w:t>一是</w:t>
      </w:r>
      <w:r>
        <w:rPr>
          <w:rFonts w:hint="eastAsia" w:ascii="仿宋_GB2312" w:hAnsi="仿宋_GB2312" w:eastAsia="仿宋_GB2312" w:cs="仿宋_GB2312"/>
          <w:color w:val="auto"/>
          <w:kern w:val="0"/>
          <w:sz w:val="32"/>
          <w:szCs w:val="32"/>
          <w:lang w:val="en-US" w:eastAsia="zh-CN"/>
        </w:rPr>
        <w:t>督促现有</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color w:val="auto"/>
          <w:kern w:val="0"/>
          <w:sz w:val="32"/>
          <w:szCs w:val="32"/>
          <w:lang w:val="en-US" w:eastAsia="zh-CN"/>
        </w:rPr>
        <w:t>户有色金属冶炼企业</w:t>
      </w:r>
      <w:r>
        <w:rPr>
          <w:rFonts w:hint="eastAsia" w:ascii="仿宋_GB2312" w:hAnsi="仿宋_GB2312" w:eastAsia="仿宋_GB2312" w:cs="仿宋_GB2312"/>
          <w:color w:val="auto"/>
          <w:sz w:val="32"/>
          <w:szCs w:val="32"/>
          <w:highlight w:val="none"/>
          <w:lang w:eastAsia="zh-CN"/>
        </w:rPr>
        <w:t>加快技术改造进程</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sz w:val="32"/>
          <w:szCs w:val="32"/>
          <w:highlight w:val="none"/>
          <w:lang w:eastAsia="zh-CN"/>
        </w:rPr>
        <w:t>积极协助企业解决改造过程中存在的问题；跟踪掌握企业项目实施情况，及时补充完善</w:t>
      </w:r>
      <w:r>
        <w:rPr>
          <w:rFonts w:hint="eastAsia" w:ascii="仿宋_GB2312" w:hAnsi="仿宋_GB2312" w:eastAsia="仿宋_GB2312" w:cs="仿宋_GB2312"/>
          <w:color w:val="auto"/>
          <w:sz w:val="32"/>
          <w:szCs w:val="32"/>
          <w:highlight w:val="none"/>
          <w:lang w:val="en-US" w:eastAsia="zh-CN"/>
        </w:rPr>
        <w:t>企业</w:t>
      </w:r>
      <w:r>
        <w:rPr>
          <w:rFonts w:hint="eastAsia" w:ascii="仿宋_GB2312" w:hAnsi="仿宋_GB2312" w:eastAsia="仿宋_GB2312" w:cs="仿宋_GB2312"/>
          <w:color w:val="auto"/>
          <w:sz w:val="32"/>
          <w:szCs w:val="32"/>
          <w:highlight w:val="none"/>
          <w:lang w:eastAsia="zh-CN"/>
        </w:rPr>
        <w:t>技术改造项目清单；对已完成技术改造的，</w:t>
      </w:r>
      <w:r>
        <w:rPr>
          <w:rFonts w:hint="eastAsia" w:ascii="仿宋_GB2312" w:hAnsi="仿宋_GB2312" w:eastAsia="仿宋_GB2312" w:cs="仿宋_GB2312"/>
          <w:color w:val="auto"/>
          <w:kern w:val="0"/>
          <w:sz w:val="32"/>
          <w:szCs w:val="32"/>
          <w:lang w:val="en-US" w:eastAsia="zh-CN"/>
        </w:rPr>
        <w:t>由属地工信部门及时核实能效水平，向省工信厅报送更新能效清单目录。</w:t>
      </w:r>
      <w:r>
        <w:rPr>
          <w:rFonts w:hint="eastAsia" w:ascii="仿宋_GB2312" w:hAnsi="仿宋_GB2312" w:eastAsia="仿宋_GB2312" w:cs="仿宋_GB2312"/>
          <w:b/>
          <w:bCs/>
          <w:color w:val="auto"/>
          <w:kern w:val="0"/>
          <w:sz w:val="32"/>
          <w:szCs w:val="32"/>
          <w:lang w:val="en-US" w:eastAsia="zh-CN"/>
        </w:rPr>
        <w:t>二是</w:t>
      </w:r>
      <w:r>
        <w:rPr>
          <w:rFonts w:hint="eastAsia" w:ascii="仿宋_GB2312" w:hAnsi="仿宋_GB2312" w:eastAsia="仿宋_GB2312" w:cs="仿宋_GB2312"/>
          <w:sz w:val="32"/>
          <w:szCs w:val="32"/>
          <w:lang w:eastAsia="zh-CN"/>
        </w:rPr>
        <w:t>对新建项目，</w:t>
      </w:r>
      <w:r>
        <w:rPr>
          <w:rFonts w:hint="eastAsia" w:ascii="仿宋_GB2312" w:hAnsi="仿宋_GB2312" w:eastAsia="仿宋_GB2312" w:cs="仿宋_GB2312"/>
          <w:color w:val="auto"/>
          <w:sz w:val="32"/>
          <w:szCs w:val="32"/>
          <w:highlight w:val="none"/>
          <w:lang w:eastAsia="zh-CN"/>
        </w:rPr>
        <w:t>要严把项目准入关口</w:t>
      </w:r>
      <w:r>
        <w:rPr>
          <w:rFonts w:hint="eastAsia" w:ascii="仿宋_GB2312" w:hAnsi="仿宋_GB2312" w:eastAsia="仿宋_GB2312" w:cs="仿宋_GB2312"/>
          <w:sz w:val="32"/>
          <w:szCs w:val="32"/>
          <w:lang w:eastAsia="zh-CN"/>
        </w:rPr>
        <w:t>，强化项目节能审查，新建项目能效水平原则上应达到标杆水平。</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lang w:eastAsia="zh-CN"/>
        </w:rPr>
        <w:t>在建项目，确保</w:t>
      </w:r>
      <w:r>
        <w:rPr>
          <w:rFonts w:hint="eastAsia" w:ascii="仿宋_GB2312" w:hAnsi="仿宋_GB2312" w:eastAsia="仿宋_GB2312" w:cs="仿宋_GB2312"/>
          <w:color w:val="auto"/>
          <w:sz w:val="32"/>
          <w:szCs w:val="32"/>
          <w:highlight w:val="none"/>
        </w:rPr>
        <w:t>能效水平低于本行业能耗限额准入值，力争达到标杆水平。</w:t>
      </w:r>
      <w:r>
        <w:rPr>
          <w:rFonts w:hint="eastAsia" w:ascii="仿宋_GB2312" w:hAnsi="仿宋_GB2312" w:eastAsia="仿宋_GB2312" w:cs="仿宋_GB2312"/>
          <w:sz w:val="32"/>
          <w:szCs w:val="32"/>
          <w:lang w:eastAsia="zh-CN"/>
        </w:rPr>
        <w:t>新建、</w:t>
      </w:r>
      <w:r>
        <w:rPr>
          <w:rFonts w:hint="eastAsia" w:ascii="仿宋_GB2312" w:hAnsi="仿宋_GB2312" w:eastAsia="仿宋_GB2312" w:cs="仿宋_GB2312"/>
          <w:color w:val="auto"/>
          <w:sz w:val="32"/>
          <w:szCs w:val="32"/>
          <w:highlight w:val="none"/>
          <w:lang w:eastAsia="zh-CN"/>
        </w:rPr>
        <w:t>在建</w:t>
      </w:r>
      <w:r>
        <w:rPr>
          <w:rFonts w:hint="eastAsia" w:ascii="仿宋_GB2312" w:hAnsi="仿宋_GB2312" w:eastAsia="仿宋_GB2312" w:cs="仿宋_GB2312"/>
          <w:sz w:val="32"/>
          <w:szCs w:val="32"/>
          <w:lang w:eastAsia="zh-CN"/>
        </w:rPr>
        <w:t>项目在投产后</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年内，由属地工信部门及时组织开展能效水平调查，按程序报送列入</w:t>
      </w:r>
      <w:r>
        <w:rPr>
          <w:rFonts w:hint="eastAsia" w:ascii="仿宋_GB2312" w:hAnsi="仿宋_GB2312" w:eastAsia="仿宋_GB2312" w:cs="仿宋_GB2312"/>
          <w:sz w:val="32"/>
          <w:szCs w:val="32"/>
          <w:lang w:val="en-US" w:eastAsia="zh-CN"/>
        </w:rPr>
        <w:t>能效水平清单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（省工业和信息化厅，西宁市、海东市、海西州人民政府按职责分工负责）</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522" w:type="dxa"/>
            <w:shd w:val="clear" w:color="auto" w:fill="auto"/>
            <w:vAlign w:val="top"/>
          </w:tcPr>
          <w:p>
            <w:pPr>
              <w:spacing w:line="500" w:lineRule="exact"/>
              <w:jc w:val="center"/>
              <w:rPr>
                <w:rFonts w:ascii="Times New Roman" w:hAnsi="Times New Roman" w:eastAsia="楷体_GB2312" w:cs="Times New Roman"/>
                <w:sz w:val="32"/>
                <w:szCs w:val="32"/>
              </w:rPr>
            </w:pPr>
            <w:r>
              <w:rPr>
                <w:rFonts w:ascii="Times New Roman" w:hAnsi="Times New Roman" w:eastAsia="楷体_GB2312" w:cs="Times New Roman"/>
                <w:sz w:val="28"/>
                <w:szCs w:val="28"/>
              </w:rPr>
              <w:t>专栏一 电解铝领域企业技术改造</w:t>
            </w:r>
            <w:r>
              <w:rPr>
                <w:rFonts w:hint="eastAsia" w:ascii="Times New Roman" w:hAnsi="Times New Roman" w:eastAsia="楷体_GB2312" w:cs="Times New Roman"/>
                <w:sz w:val="28"/>
                <w:szCs w:val="28"/>
                <w:lang w:eastAsia="zh-CN"/>
              </w:rPr>
              <w:t>计划</w:t>
            </w:r>
            <w:r>
              <w:rPr>
                <w:rFonts w:ascii="Times New Roman" w:hAnsi="Times New Roman" w:eastAsia="楷体_GB2312" w:cs="Times New Roman"/>
                <w:sz w:val="28"/>
                <w:szCs w:val="28"/>
              </w:rPr>
              <w:t>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shd w:val="clear" w:color="auto" w:fill="auto"/>
            <w:vAlign w:val="top"/>
          </w:tcPr>
          <w:p>
            <w:pPr>
              <w:spacing w:line="440" w:lineRule="exact"/>
              <w:rPr>
                <w:rFonts w:ascii="Times New Roman" w:hAnsi="Times New Roman" w:cs="Times New Roman"/>
                <w:b/>
                <w:bCs/>
                <w:sz w:val="24"/>
                <w:szCs w:val="24"/>
              </w:rPr>
            </w:pPr>
            <w:r>
              <w:rPr>
                <w:rFonts w:ascii="Times New Roman" w:hAnsi="Times New Roman" w:cs="Times New Roman"/>
                <w:b/>
                <w:bCs/>
                <w:sz w:val="24"/>
                <w:szCs w:val="24"/>
              </w:rPr>
              <w:t>2022年底实施改造完成项目</w:t>
            </w:r>
            <w:r>
              <w:rPr>
                <w:rFonts w:hint="eastAsia" w:ascii="Times New Roman" w:hAnsi="Times New Roman" w:cs="Times New Roman"/>
                <w:b/>
                <w:bCs/>
                <w:sz w:val="24"/>
                <w:szCs w:val="24"/>
                <w:lang w:val="en-US" w:eastAsia="zh-CN"/>
              </w:rPr>
              <w:t>13</w:t>
            </w:r>
            <w:r>
              <w:rPr>
                <w:rFonts w:ascii="Times New Roman" w:hAnsi="Times New Roman" w:cs="Times New Roman"/>
                <w:b/>
                <w:bCs/>
                <w:sz w:val="24"/>
                <w:szCs w:val="24"/>
              </w:rPr>
              <w:t>个：</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青海西部水电有限公司</w:t>
            </w:r>
            <w:r>
              <w:rPr>
                <w:rFonts w:hint="default" w:ascii="Times New Roman" w:hAnsi="Times New Roman" w:eastAsia="仿宋_GB2312" w:cs="Times New Roman"/>
                <w:sz w:val="24"/>
                <w:szCs w:val="24"/>
              </w:rPr>
              <w:t>420</w:t>
            </w:r>
            <w:r>
              <w:rPr>
                <w:rFonts w:ascii="仿宋_GB2312" w:hAnsi="仿宋_GB2312" w:eastAsia="仿宋_GB2312" w:cs="仿宋_GB2312"/>
                <w:sz w:val="24"/>
                <w:szCs w:val="24"/>
              </w:rPr>
              <w:t>kA电解槽大修项目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ascii="仿宋_GB2312" w:hAnsi="仿宋_GB2312" w:eastAsia="仿宋_GB2312" w:cs="仿宋_GB2312"/>
                <w:sz w:val="24"/>
                <w:szCs w:val="24"/>
              </w:rPr>
              <w:t>青海西部水电有限公司烟气余热利用节能改造项目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ascii="仿宋_GB2312" w:hAnsi="仿宋_GB2312" w:eastAsia="仿宋_GB2312" w:cs="仿宋_GB2312"/>
                <w:sz w:val="24"/>
                <w:szCs w:val="24"/>
              </w:rPr>
              <w:t>青海百河铝业有限责任公司净化车间北厂三四净化排烟系统整体优化节能技术改造项目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ascii="仿宋_GB2312" w:hAnsi="仿宋_GB2312" w:eastAsia="仿宋_GB2312" w:cs="仿宋_GB2312"/>
                <w:sz w:val="24"/>
                <w:szCs w:val="24"/>
              </w:rPr>
              <w:t>青海桥头铝电有限责任公司电解槽磷生铁浇铸项目（</w:t>
            </w:r>
            <w:r>
              <w:rPr>
                <w:rFonts w:hint="default" w:ascii="Times New Roman" w:hAnsi="Times New Roman" w:eastAsia="仿宋_GB2312" w:cs="Times New Roman"/>
                <w:sz w:val="24"/>
                <w:szCs w:val="24"/>
              </w:rPr>
              <w:t>35</w:t>
            </w:r>
            <w:r>
              <w:rPr>
                <w:rFonts w:ascii="仿宋_GB2312" w:hAnsi="仿宋_GB2312" w:eastAsia="仿宋_GB2312" w:cs="仿宋_GB2312"/>
                <w:sz w:val="24"/>
                <w:szCs w:val="24"/>
              </w:rPr>
              <w:t>台）</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ascii="仿宋_GB2312" w:hAnsi="仿宋_GB2312" w:eastAsia="仿宋_GB2312" w:cs="仿宋_GB2312"/>
                <w:sz w:val="24"/>
                <w:szCs w:val="24"/>
              </w:rPr>
              <w:t>青海桥头铝电有限责任公司电解厂动力车间一、二期电解系列稳流控制系统改造项目</w:t>
            </w:r>
          </w:p>
          <w:p>
            <w:pPr>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6</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青海物产工业投资有限公司天然气焙烧电解槽项目</w:t>
            </w:r>
          </w:p>
          <w:p>
            <w:pPr>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7.青海物产工业投资有限公司极防氧化涂料技术的应用项目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青海佳韵铝业股份有限公司阳极电流在线监测系统配合单点打壳下料系统项目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9</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青海佳韵铝业股份有限公司数字化槽控机控制系统改造项目</w:t>
            </w:r>
          </w:p>
          <w:p>
            <w:pPr>
              <w:spacing w:line="44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rPr>
              <w:t>青海海源绿能铝业有限公司母线提升机无风抱紧、增压改造</w:t>
            </w:r>
            <w:r>
              <w:rPr>
                <w:rFonts w:hint="eastAsia" w:ascii="仿宋_GB2312" w:hAnsi="仿宋_GB2312" w:eastAsia="仿宋_GB2312" w:cs="仿宋_GB2312"/>
                <w:sz w:val="24"/>
                <w:szCs w:val="24"/>
                <w:lang w:eastAsia="zh-CN"/>
              </w:rPr>
              <w:t>项目</w:t>
            </w:r>
          </w:p>
          <w:p>
            <w:p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w:t>
            </w:r>
            <w:r>
              <w:rPr>
                <w:rFonts w:hint="eastAsia" w:ascii="仿宋_GB2312" w:hAnsi="仿宋_GB2312" w:eastAsia="仿宋_GB2312" w:cs="仿宋_GB2312"/>
                <w:sz w:val="24"/>
                <w:szCs w:val="24"/>
              </w:rPr>
              <w:t>青海海源绿能铝业有限公司</w:t>
            </w:r>
            <w:r>
              <w:rPr>
                <w:rFonts w:hint="eastAsia" w:ascii="仿宋_GB2312" w:hAnsi="仿宋_GB2312" w:eastAsia="仿宋_GB2312" w:cs="仿宋_GB2312"/>
                <w:sz w:val="24"/>
                <w:szCs w:val="24"/>
                <w:lang w:val="en-US" w:eastAsia="zh-CN"/>
              </w:rPr>
              <w:t>400KA电解槽大修项目</w:t>
            </w:r>
          </w:p>
          <w:p>
            <w:p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w:t>
            </w:r>
            <w:r>
              <w:rPr>
                <w:rFonts w:hint="eastAsia" w:ascii="仿宋_GB2312" w:hAnsi="仿宋_GB2312" w:eastAsia="仿宋_GB2312" w:cs="仿宋_GB2312"/>
                <w:sz w:val="24"/>
                <w:szCs w:val="24"/>
              </w:rPr>
              <w:t>青海海源绿能铝业有限公司</w:t>
            </w:r>
            <w:r>
              <w:rPr>
                <w:rFonts w:hint="eastAsia" w:ascii="仿宋_GB2312" w:hAnsi="仿宋_GB2312" w:eastAsia="仿宋_GB2312" w:cs="仿宋_GB2312"/>
                <w:sz w:val="24"/>
                <w:szCs w:val="24"/>
                <w:lang w:val="en-US" w:eastAsia="zh-CN"/>
              </w:rPr>
              <w:t>开槽技术应用项目</w:t>
            </w:r>
          </w:p>
          <w:p>
            <w:p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w:t>
            </w:r>
            <w:r>
              <w:rPr>
                <w:rFonts w:hint="eastAsia" w:ascii="仿宋_GB2312" w:hAnsi="仿宋_GB2312" w:eastAsia="仿宋_GB2312" w:cs="仿宋_GB2312"/>
                <w:sz w:val="24"/>
                <w:szCs w:val="24"/>
              </w:rPr>
              <w:t>青海海源绿能铝业有限公司</w:t>
            </w:r>
            <w:r>
              <w:rPr>
                <w:rFonts w:hint="eastAsia" w:ascii="仿宋_GB2312" w:hAnsi="仿宋_GB2312" w:eastAsia="仿宋_GB2312" w:cs="仿宋_GB2312"/>
                <w:sz w:val="24"/>
                <w:szCs w:val="24"/>
                <w:lang w:val="en-US" w:eastAsia="zh-CN"/>
              </w:rPr>
              <w:t>阳极喷涂技术应用项目</w:t>
            </w:r>
          </w:p>
          <w:p>
            <w:pPr>
              <w:spacing w:line="440" w:lineRule="exact"/>
              <w:rPr>
                <w:rFonts w:ascii="Times New Roman" w:hAnsi="Times New Roman" w:cs="Times New Roman"/>
                <w:b/>
                <w:bCs/>
                <w:sz w:val="24"/>
                <w:szCs w:val="24"/>
              </w:rPr>
            </w:pPr>
            <w:r>
              <w:rPr>
                <w:rFonts w:ascii="Times New Roman" w:hAnsi="Times New Roman" w:cs="Times New Roman"/>
                <w:b/>
                <w:bCs/>
                <w:sz w:val="24"/>
                <w:szCs w:val="24"/>
              </w:rPr>
              <w:t>2023年底拟实施改造完成项目</w:t>
            </w:r>
            <w:r>
              <w:rPr>
                <w:rFonts w:hint="eastAsia" w:ascii="Times New Roman" w:hAnsi="Times New Roman" w:cs="Times New Roman"/>
                <w:b/>
                <w:bCs/>
                <w:sz w:val="24"/>
                <w:szCs w:val="24"/>
                <w:lang w:val="en-US" w:eastAsia="zh-CN"/>
              </w:rPr>
              <w:t>33</w:t>
            </w:r>
            <w:r>
              <w:rPr>
                <w:rFonts w:ascii="Times New Roman" w:hAnsi="Times New Roman" w:cs="Times New Roman"/>
                <w:b/>
                <w:bCs/>
                <w:sz w:val="24"/>
                <w:szCs w:val="24"/>
              </w:rPr>
              <w:t>个：</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青海西部水电有限公司</w:t>
            </w:r>
            <w:r>
              <w:rPr>
                <w:rFonts w:hint="default" w:ascii="Times New Roman" w:hAnsi="Times New Roman" w:eastAsia="仿宋_GB2312" w:cs="Times New Roman"/>
                <w:sz w:val="24"/>
                <w:szCs w:val="24"/>
              </w:rPr>
              <w:t>420</w:t>
            </w:r>
            <w:r>
              <w:rPr>
                <w:rFonts w:ascii="仿宋_GB2312" w:hAnsi="仿宋_GB2312" w:eastAsia="仿宋_GB2312" w:cs="仿宋_GB2312"/>
                <w:sz w:val="24"/>
                <w:szCs w:val="24"/>
              </w:rPr>
              <w:t>kA电解槽全石墨化磷生铁浇筑技术改造项目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ascii="仿宋_GB2312" w:hAnsi="仿宋_GB2312" w:eastAsia="仿宋_GB2312" w:cs="仿宋_GB2312"/>
                <w:sz w:val="24"/>
                <w:szCs w:val="24"/>
              </w:rPr>
              <w:t>青海西部水电有限公司空压机节能改造项目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ascii="仿宋_GB2312" w:hAnsi="仿宋_GB2312" w:eastAsia="仿宋_GB2312" w:cs="仿宋_GB2312"/>
                <w:sz w:val="24"/>
                <w:szCs w:val="24"/>
              </w:rPr>
              <w:t>青海西部水电有限公司分布式光伏发电项目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ascii="仿宋_GB2312" w:hAnsi="仿宋_GB2312" w:eastAsia="仿宋_GB2312" w:cs="仿宋_GB2312"/>
                <w:sz w:val="24"/>
                <w:szCs w:val="24"/>
              </w:rPr>
              <w:t>青海百河铝业有限责任公司全石墨化阴极电解槽技术探索及实践项目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ascii="仿宋_GB2312" w:hAnsi="仿宋_GB2312" w:eastAsia="仿宋_GB2312" w:cs="仿宋_GB2312"/>
                <w:sz w:val="24"/>
                <w:szCs w:val="24"/>
              </w:rPr>
              <w:t>青海百河铝业有限责任公司电解槽燃气焙烧项目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6.</w:t>
            </w:r>
            <w:r>
              <w:rPr>
                <w:rFonts w:ascii="仿宋_GB2312" w:hAnsi="仿宋_GB2312" w:eastAsia="仿宋_GB2312" w:cs="仿宋_GB2312"/>
                <w:sz w:val="24"/>
                <w:szCs w:val="24"/>
              </w:rPr>
              <w:t>青海百河铝业有限责任公司电解槽半石墨化阴极磷生铁浇铸技术项目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7.</w:t>
            </w:r>
            <w:r>
              <w:rPr>
                <w:rFonts w:ascii="仿宋_GB2312" w:hAnsi="仿宋_GB2312" w:eastAsia="仿宋_GB2312" w:cs="仿宋_GB2312"/>
                <w:sz w:val="24"/>
                <w:szCs w:val="24"/>
              </w:rPr>
              <w:t>青海百河铝业有限责任公司新鲜氧化铝风动溜槽输送系统技改项目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8.</w:t>
            </w:r>
            <w:r>
              <w:rPr>
                <w:rFonts w:ascii="仿宋_GB2312" w:hAnsi="仿宋_GB2312" w:eastAsia="仿宋_GB2312" w:cs="仿宋_GB2312"/>
                <w:sz w:val="24"/>
                <w:szCs w:val="24"/>
              </w:rPr>
              <w:t>青海百河铝业有限责任公司净化车间北厂</w:t>
            </w:r>
            <w:r>
              <w:rPr>
                <w:rFonts w:hint="default" w:ascii="Times New Roman" w:hAnsi="Times New Roman" w:eastAsia="仿宋_GB2312" w:cs="Times New Roman"/>
                <w:sz w:val="24"/>
                <w:szCs w:val="24"/>
              </w:rPr>
              <w:t>1</w:t>
            </w:r>
            <w:r>
              <w:rPr>
                <w:rFonts w:ascii="仿宋_GB2312" w:hAnsi="仿宋_GB2312" w:eastAsia="仿宋_GB2312" w:cs="仿宋_GB2312"/>
                <w:sz w:val="24"/>
                <w:szCs w:val="24"/>
              </w:rPr>
              <w:t>#、</w:t>
            </w:r>
            <w:r>
              <w:rPr>
                <w:rFonts w:hint="default" w:ascii="Times New Roman" w:hAnsi="Times New Roman" w:eastAsia="仿宋_GB2312" w:cs="Times New Roman"/>
                <w:sz w:val="24"/>
                <w:szCs w:val="24"/>
              </w:rPr>
              <w:t>2</w:t>
            </w:r>
            <w:r>
              <w:rPr>
                <w:rFonts w:ascii="仿宋_GB2312" w:hAnsi="仿宋_GB2312" w:eastAsia="仿宋_GB2312" w:cs="仿宋_GB2312"/>
                <w:sz w:val="24"/>
                <w:szCs w:val="24"/>
              </w:rPr>
              <w:t>#净化系统排烟风机变频改造项目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9.</w:t>
            </w:r>
            <w:r>
              <w:rPr>
                <w:rFonts w:ascii="仿宋_GB2312" w:hAnsi="仿宋_GB2312" w:eastAsia="仿宋_GB2312" w:cs="仿宋_GB2312"/>
                <w:sz w:val="24"/>
                <w:szCs w:val="24"/>
              </w:rPr>
              <w:t>青海百河铝业有限责任公司铸造车间北厂</w:t>
            </w:r>
            <w:r>
              <w:rPr>
                <w:rFonts w:hint="default" w:ascii="Times New Roman" w:hAnsi="Times New Roman" w:eastAsia="仿宋_GB2312" w:cs="Times New Roman"/>
                <w:sz w:val="24"/>
                <w:szCs w:val="24"/>
              </w:rPr>
              <w:t>1</w:t>
            </w:r>
            <w:r>
              <w:rPr>
                <w:rFonts w:ascii="仿宋_GB2312" w:hAnsi="仿宋_GB2312" w:eastAsia="仿宋_GB2312" w:cs="仿宋_GB2312"/>
                <w:sz w:val="24"/>
                <w:szCs w:val="24"/>
              </w:rPr>
              <w:t>#混合炉电改气技改项目</w:t>
            </w:r>
          </w:p>
          <w:p>
            <w:pPr>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10.</w:t>
            </w:r>
            <w:r>
              <w:rPr>
                <w:rFonts w:ascii="仿宋_GB2312" w:hAnsi="仿宋_GB2312" w:eastAsia="仿宋_GB2312" w:cs="仿宋_GB2312"/>
                <w:sz w:val="24"/>
                <w:szCs w:val="24"/>
              </w:rPr>
              <w:t>青海百河铝业有限责任公司</w:t>
            </w:r>
            <w:r>
              <w:rPr>
                <w:rFonts w:hint="eastAsia" w:ascii="仿宋_GB2312" w:hAnsi="仿宋_GB2312" w:eastAsia="仿宋_GB2312" w:cs="仿宋_GB2312"/>
                <w:sz w:val="24"/>
                <w:szCs w:val="24"/>
              </w:rPr>
              <w:t>分布式光伏项目</w:t>
            </w:r>
          </w:p>
          <w:p>
            <w:pPr>
              <w:spacing w:line="44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11.</w:t>
            </w:r>
            <w:r>
              <w:rPr>
                <w:rFonts w:ascii="仿宋_GB2312" w:hAnsi="仿宋_GB2312" w:eastAsia="仿宋_GB2312" w:cs="仿宋_GB2312"/>
                <w:sz w:val="24"/>
                <w:szCs w:val="24"/>
              </w:rPr>
              <w:t>青海百河铝业有限责任公司</w:t>
            </w:r>
            <w:r>
              <w:rPr>
                <w:rFonts w:hint="eastAsia" w:ascii="仿宋_GB2312" w:hAnsi="仿宋_GB2312" w:eastAsia="仿宋_GB2312" w:cs="仿宋_GB2312"/>
                <w:sz w:val="24"/>
                <w:szCs w:val="24"/>
              </w:rPr>
              <w:t>阳极炭块开槽设备采购安装</w:t>
            </w:r>
            <w:r>
              <w:rPr>
                <w:rFonts w:hint="eastAsia" w:ascii="仿宋_GB2312" w:hAnsi="仿宋_GB2312" w:eastAsia="仿宋_GB2312" w:cs="仿宋_GB2312"/>
                <w:sz w:val="24"/>
                <w:szCs w:val="24"/>
                <w:lang w:eastAsia="zh-CN"/>
              </w:rPr>
              <w:t>项目</w:t>
            </w:r>
          </w:p>
          <w:p>
            <w:pPr>
              <w:spacing w:line="44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12.</w:t>
            </w:r>
            <w:r>
              <w:rPr>
                <w:rFonts w:ascii="仿宋_GB2312" w:hAnsi="仿宋_GB2312" w:eastAsia="仿宋_GB2312" w:cs="仿宋_GB2312"/>
                <w:sz w:val="24"/>
                <w:szCs w:val="24"/>
              </w:rPr>
              <w:t>青海百河铝业有限责任公司</w:t>
            </w:r>
            <w:r>
              <w:rPr>
                <w:rFonts w:hint="eastAsia" w:ascii="仿宋_GB2312" w:hAnsi="仿宋_GB2312" w:eastAsia="仿宋_GB2312" w:cs="仿宋_GB2312"/>
                <w:sz w:val="24"/>
                <w:szCs w:val="24"/>
              </w:rPr>
              <w:t>330系列节能型钢爪</w:t>
            </w:r>
            <w:r>
              <w:rPr>
                <w:rFonts w:hint="eastAsia" w:ascii="仿宋_GB2312" w:hAnsi="仿宋_GB2312" w:eastAsia="仿宋_GB2312" w:cs="仿宋_GB2312"/>
                <w:sz w:val="24"/>
                <w:szCs w:val="24"/>
                <w:lang w:eastAsia="zh-CN"/>
              </w:rPr>
              <w:t>更换项目</w:t>
            </w:r>
          </w:p>
          <w:p>
            <w:pPr>
              <w:spacing w:line="44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13.</w:t>
            </w:r>
            <w:r>
              <w:rPr>
                <w:rFonts w:ascii="仿宋_GB2312" w:hAnsi="仿宋_GB2312" w:eastAsia="仿宋_GB2312" w:cs="仿宋_GB2312"/>
                <w:sz w:val="24"/>
                <w:szCs w:val="24"/>
              </w:rPr>
              <w:t>青海百河铝业有限责任公司</w:t>
            </w:r>
            <w:r>
              <w:rPr>
                <w:rFonts w:hint="eastAsia" w:ascii="仿宋_GB2312" w:hAnsi="仿宋_GB2312" w:eastAsia="仿宋_GB2312" w:cs="仿宋_GB2312"/>
                <w:sz w:val="24"/>
                <w:szCs w:val="24"/>
              </w:rPr>
              <w:t>电解烟气净化增加脱硫系统</w:t>
            </w:r>
            <w:r>
              <w:rPr>
                <w:rFonts w:hint="eastAsia" w:ascii="仿宋_GB2312" w:hAnsi="仿宋_GB2312" w:eastAsia="仿宋_GB2312" w:cs="仿宋_GB2312"/>
                <w:sz w:val="24"/>
                <w:szCs w:val="24"/>
                <w:lang w:eastAsia="zh-CN"/>
              </w:rPr>
              <w:t>项目</w:t>
            </w:r>
          </w:p>
          <w:p>
            <w:pPr>
              <w:spacing w:line="440" w:lineRule="exac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14.</w:t>
            </w:r>
            <w:r>
              <w:rPr>
                <w:rFonts w:ascii="仿宋_GB2312" w:hAnsi="仿宋_GB2312" w:eastAsia="仿宋_GB2312" w:cs="仿宋_GB2312"/>
                <w:sz w:val="24"/>
                <w:szCs w:val="24"/>
              </w:rPr>
              <w:t>青海百河铝业有限责任公司</w:t>
            </w:r>
            <w:r>
              <w:rPr>
                <w:rFonts w:hint="eastAsia" w:ascii="仿宋_GB2312" w:hAnsi="仿宋_GB2312" w:eastAsia="仿宋_GB2312" w:cs="仿宋_GB2312"/>
                <w:sz w:val="24"/>
                <w:szCs w:val="24"/>
              </w:rPr>
              <w:t>阳极导杆激光清洗项目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青海桥头铝电有限责任公司</w:t>
            </w:r>
            <w:r>
              <w:rPr>
                <w:rFonts w:hint="eastAsia" w:ascii="仿宋_GB2312" w:hAnsi="仿宋_GB2312" w:eastAsia="仿宋_GB2312" w:cs="仿宋_GB2312"/>
                <w:sz w:val="24"/>
                <w:szCs w:val="24"/>
              </w:rPr>
              <w:t>新型节能阻流电解槽改造</w:t>
            </w:r>
            <w:r>
              <w:rPr>
                <w:rFonts w:ascii="仿宋_GB2312" w:hAnsi="仿宋_GB2312" w:eastAsia="仿宋_GB2312" w:cs="仿宋_GB2312"/>
                <w:sz w:val="24"/>
                <w:szCs w:val="24"/>
              </w:rPr>
              <w:t>项目（</w:t>
            </w:r>
            <w:r>
              <w:rPr>
                <w:rFonts w:hint="default" w:ascii="Times New Roman" w:hAnsi="Times New Roman" w:eastAsia="仿宋_GB2312" w:cs="Times New Roman"/>
                <w:sz w:val="24"/>
                <w:szCs w:val="24"/>
              </w:rPr>
              <w:t>50</w:t>
            </w:r>
            <w:r>
              <w:rPr>
                <w:rFonts w:ascii="仿宋_GB2312" w:hAnsi="仿宋_GB2312" w:eastAsia="仿宋_GB2312" w:cs="仿宋_GB2312"/>
                <w:sz w:val="24"/>
                <w:szCs w:val="24"/>
              </w:rPr>
              <w:t>台）</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青海桥头铝电有限责任公司电解槽槽控机升级改造项目</w:t>
            </w:r>
          </w:p>
          <w:p>
            <w:pPr>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青海桥头铝电有限责任公司组合式干燥器改造项目</w:t>
            </w:r>
          </w:p>
          <w:p>
            <w:pPr>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青海桥头铝电有限责任公司分布式光伏建设项目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9</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青海桥头铝电有限责任公司预焙阳极开槽项目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20</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青海桥头铝电有限责任公司铝导杆（</w:t>
            </w:r>
            <w:r>
              <w:rPr>
                <w:rFonts w:hint="default" w:ascii="Times New Roman" w:hAnsi="Times New Roman" w:eastAsia="仿宋_GB2312" w:cs="Times New Roman"/>
                <w:sz w:val="24"/>
                <w:szCs w:val="24"/>
              </w:rPr>
              <w:t>3000</w:t>
            </w:r>
            <w:r>
              <w:rPr>
                <w:rFonts w:ascii="仿宋_GB2312" w:hAnsi="仿宋_GB2312" w:eastAsia="仿宋_GB2312" w:cs="仿宋_GB2312"/>
                <w:sz w:val="24"/>
                <w:szCs w:val="24"/>
              </w:rPr>
              <w:t>根）和阳极钢爪更新（</w:t>
            </w:r>
            <w:r>
              <w:rPr>
                <w:rFonts w:hint="default" w:ascii="Times New Roman" w:hAnsi="Times New Roman" w:eastAsia="仿宋_GB2312" w:cs="Times New Roman"/>
                <w:sz w:val="24"/>
                <w:szCs w:val="24"/>
              </w:rPr>
              <w:t>3200</w:t>
            </w:r>
            <w:r>
              <w:rPr>
                <w:rFonts w:ascii="仿宋_GB2312" w:hAnsi="仿宋_GB2312" w:eastAsia="仿宋_GB2312" w:cs="仿宋_GB2312"/>
                <w:sz w:val="24"/>
                <w:szCs w:val="24"/>
              </w:rPr>
              <w:t>组）项目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21</w:t>
            </w:r>
            <w:r>
              <w:rPr>
                <w:rFonts w:ascii="仿宋_GB2312" w:hAnsi="仿宋_GB2312" w:eastAsia="仿宋_GB2312" w:cs="仿宋_GB2312"/>
                <w:sz w:val="24"/>
                <w:szCs w:val="24"/>
              </w:rPr>
              <w:t>.黄河鑫业有限公司电解槽应用磷生铁浇铸及石墨化技术改造项目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22</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黄河鑫业有限公司预焙阳极炭块底部开槽技术改造项目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23</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黄河鑫业有限公司阳极涂层技术应用项目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24</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黄河鑫业有限公司阳极钢爪自动焊接系统研制与应用项目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25</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黄河鑫业有限公司铝导杆机器人激光清洗机项目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26</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黄河鑫业有限公司电解一系列整流机组稳流系统升级改造项目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27</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黄河鑫业有限公司分布式光伏发电项目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28</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青海物产工业投资有限公司铝电解智能精准控制系统改造项目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29</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青海物产工业投资有限公司电解槽低电压管理节能技术应用项目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30</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青海物产工业投资有限公司电解槽节能技改大修项目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31</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青海物产工业投资有限公司循环水泵节能改造项目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32.</w:t>
            </w:r>
            <w:r>
              <w:rPr>
                <w:rFonts w:hint="eastAsia" w:ascii="仿宋_GB2312" w:hAnsi="仿宋_GB2312" w:eastAsia="仿宋_GB2312" w:cs="仿宋_GB2312"/>
                <w:sz w:val="24"/>
                <w:szCs w:val="24"/>
              </w:rPr>
              <w:t>青海海源绿能铝业有限公司</w:t>
            </w:r>
            <w:r>
              <w:rPr>
                <w:rFonts w:ascii="仿宋_GB2312" w:hAnsi="仿宋_GB2312" w:eastAsia="仿宋_GB2312" w:cs="仿宋_GB2312"/>
                <w:sz w:val="24"/>
                <w:szCs w:val="24"/>
              </w:rPr>
              <w:t>槽控机控制系统升级改造项目</w:t>
            </w:r>
          </w:p>
          <w:p>
            <w:pPr>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33.</w:t>
            </w:r>
            <w:r>
              <w:rPr>
                <w:rFonts w:hint="eastAsia" w:ascii="仿宋_GB2312" w:hAnsi="仿宋_GB2312" w:eastAsia="仿宋_GB2312" w:cs="仿宋_GB2312"/>
                <w:sz w:val="24"/>
                <w:szCs w:val="24"/>
              </w:rPr>
              <w:t>青海海源绿能铝业有限公司新建开槽设备项目</w:t>
            </w:r>
          </w:p>
          <w:p>
            <w:pPr>
              <w:spacing w:line="440" w:lineRule="exact"/>
              <w:rPr>
                <w:rFonts w:ascii="Times New Roman" w:hAnsi="Times New Roman" w:cs="Times New Roman"/>
                <w:b/>
                <w:bCs/>
                <w:sz w:val="24"/>
                <w:szCs w:val="24"/>
              </w:rPr>
            </w:pPr>
            <w:r>
              <w:rPr>
                <w:rFonts w:ascii="Times New Roman" w:hAnsi="Times New Roman" w:cs="Times New Roman"/>
                <w:b/>
                <w:bCs/>
                <w:sz w:val="24"/>
                <w:szCs w:val="24"/>
              </w:rPr>
              <w:t>2024年底拟实施改造完成项目</w:t>
            </w:r>
            <w:r>
              <w:rPr>
                <w:rFonts w:hint="eastAsia" w:ascii="Times New Roman" w:hAnsi="Times New Roman" w:cs="Times New Roman"/>
                <w:b/>
                <w:bCs/>
                <w:sz w:val="24"/>
                <w:szCs w:val="24"/>
                <w:lang w:val="en-US" w:eastAsia="zh-CN"/>
              </w:rPr>
              <w:t>7</w:t>
            </w:r>
            <w:r>
              <w:rPr>
                <w:rFonts w:ascii="Times New Roman" w:hAnsi="Times New Roman" w:cs="Times New Roman"/>
                <w:b/>
                <w:bCs/>
                <w:sz w:val="24"/>
                <w:szCs w:val="24"/>
              </w:rPr>
              <w:t>个：</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青海百河铝业有限责任公司</w:t>
            </w:r>
            <w:r>
              <w:rPr>
                <w:rFonts w:hint="default" w:ascii="Times New Roman" w:hAnsi="Times New Roman" w:eastAsia="仿宋_GB2312" w:cs="Times New Roman"/>
                <w:sz w:val="24"/>
                <w:szCs w:val="24"/>
              </w:rPr>
              <w:t>330</w:t>
            </w:r>
            <w:r>
              <w:rPr>
                <w:rFonts w:ascii="仿宋_GB2312" w:hAnsi="仿宋_GB2312" w:eastAsia="仿宋_GB2312" w:cs="仿宋_GB2312"/>
                <w:sz w:val="24"/>
                <w:szCs w:val="24"/>
              </w:rPr>
              <w:t>系列母线优化及磁流体稳定性提升技术研究及应用（补偿母线）项目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ascii="仿宋_GB2312" w:hAnsi="仿宋_GB2312" w:eastAsia="仿宋_GB2312" w:cs="仿宋_GB2312"/>
                <w:sz w:val="24"/>
                <w:szCs w:val="24"/>
              </w:rPr>
              <w:t>青海桥头铝电有限责任公司</w:t>
            </w:r>
            <w:r>
              <w:rPr>
                <w:rFonts w:hint="eastAsia" w:ascii="仿宋_GB2312" w:hAnsi="仿宋_GB2312" w:eastAsia="仿宋_GB2312" w:cs="仿宋_GB2312"/>
                <w:sz w:val="24"/>
                <w:szCs w:val="24"/>
              </w:rPr>
              <w:t>新型节能阻流电解槽改造</w:t>
            </w:r>
            <w:r>
              <w:rPr>
                <w:rFonts w:ascii="仿宋_GB2312" w:hAnsi="仿宋_GB2312" w:eastAsia="仿宋_GB2312" w:cs="仿宋_GB2312"/>
                <w:sz w:val="24"/>
                <w:szCs w:val="24"/>
              </w:rPr>
              <w:t>项目（</w:t>
            </w:r>
            <w:r>
              <w:rPr>
                <w:rFonts w:hint="default" w:ascii="Times New Roman" w:hAnsi="Times New Roman" w:eastAsia="仿宋_GB2312" w:cs="Times New Roman"/>
                <w:sz w:val="24"/>
                <w:szCs w:val="24"/>
              </w:rPr>
              <w:t>60</w:t>
            </w:r>
            <w:r>
              <w:rPr>
                <w:rFonts w:ascii="仿宋_GB2312" w:hAnsi="仿宋_GB2312" w:eastAsia="仿宋_GB2312" w:cs="仿宋_GB2312"/>
                <w:sz w:val="24"/>
                <w:szCs w:val="24"/>
              </w:rPr>
              <w:t>台）</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ascii="仿宋_GB2312" w:hAnsi="仿宋_GB2312" w:eastAsia="仿宋_GB2312" w:cs="仿宋_GB2312"/>
                <w:sz w:val="24"/>
                <w:szCs w:val="24"/>
              </w:rPr>
              <w:t>青海桥头铝电有限责任公司铝导杆（</w:t>
            </w:r>
            <w:r>
              <w:rPr>
                <w:rFonts w:hint="default" w:ascii="Times New Roman" w:hAnsi="Times New Roman" w:eastAsia="仿宋_GB2312" w:cs="Times New Roman"/>
                <w:sz w:val="24"/>
                <w:szCs w:val="24"/>
              </w:rPr>
              <w:t>3000</w:t>
            </w:r>
            <w:r>
              <w:rPr>
                <w:rFonts w:ascii="仿宋_GB2312" w:hAnsi="仿宋_GB2312" w:eastAsia="仿宋_GB2312" w:cs="仿宋_GB2312"/>
                <w:sz w:val="24"/>
                <w:szCs w:val="24"/>
              </w:rPr>
              <w:t>根）和钢爪更新（</w:t>
            </w:r>
            <w:r>
              <w:rPr>
                <w:rFonts w:hint="default" w:ascii="Times New Roman" w:hAnsi="Times New Roman" w:eastAsia="仿宋_GB2312" w:cs="Times New Roman"/>
                <w:sz w:val="24"/>
                <w:szCs w:val="24"/>
              </w:rPr>
              <w:t>3000</w:t>
            </w:r>
            <w:r>
              <w:rPr>
                <w:rFonts w:ascii="仿宋_GB2312" w:hAnsi="仿宋_GB2312" w:eastAsia="仿宋_GB2312" w:cs="仿宋_GB2312"/>
                <w:sz w:val="24"/>
                <w:szCs w:val="24"/>
              </w:rPr>
              <w:t>根）项目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ascii="仿宋_GB2312" w:hAnsi="仿宋_GB2312" w:eastAsia="仿宋_GB2312" w:cs="仿宋_GB2312"/>
                <w:sz w:val="24"/>
                <w:szCs w:val="24"/>
              </w:rPr>
              <w:t>青海桥头铝电有限责任公司变压器、整流柜节能改造项目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ascii="仿宋_GB2312" w:hAnsi="仿宋_GB2312" w:eastAsia="仿宋_GB2312" w:cs="仿宋_GB2312"/>
                <w:sz w:val="24"/>
                <w:szCs w:val="24"/>
              </w:rPr>
              <w:t>黄河鑫业有限公司电解槽应用磷生铁浇铸及石墨化技术改造项目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6.</w:t>
            </w:r>
            <w:r>
              <w:rPr>
                <w:rFonts w:ascii="仿宋_GB2312" w:hAnsi="仿宋_GB2312" w:eastAsia="仿宋_GB2312" w:cs="仿宋_GB2312"/>
                <w:sz w:val="24"/>
                <w:szCs w:val="24"/>
              </w:rPr>
              <w:t>黄河鑫业有限公司阳极涂层技术应用项目</w:t>
            </w:r>
          </w:p>
          <w:p>
            <w:p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t>青海海源绿能铝业有限公司</w:t>
            </w:r>
            <w:r>
              <w:rPr>
                <w:rFonts w:hint="eastAsia" w:ascii="仿宋_GB2312" w:hAnsi="仿宋_GB2312" w:eastAsia="仿宋_GB2312" w:cs="仿宋_GB2312"/>
                <w:sz w:val="24"/>
                <w:szCs w:val="24"/>
                <w:lang w:val="en-US" w:eastAsia="zh-CN"/>
              </w:rPr>
              <w:t>400kA电解槽全石墨化磷生铁浇筑技术改造项目</w:t>
            </w:r>
          </w:p>
          <w:p>
            <w:pPr>
              <w:spacing w:line="440" w:lineRule="exact"/>
              <w:rPr>
                <w:rFonts w:ascii="Times New Roman" w:hAnsi="Times New Roman" w:cs="Times New Roman"/>
                <w:b/>
                <w:bCs/>
                <w:sz w:val="24"/>
                <w:szCs w:val="24"/>
              </w:rPr>
            </w:pPr>
            <w:r>
              <w:rPr>
                <w:rFonts w:ascii="Times New Roman" w:hAnsi="Times New Roman" w:cs="Times New Roman"/>
                <w:b/>
                <w:bCs/>
                <w:sz w:val="24"/>
                <w:szCs w:val="24"/>
              </w:rPr>
              <w:t>2025年底拟实施改造完成项目</w:t>
            </w:r>
            <w:r>
              <w:rPr>
                <w:rFonts w:hint="eastAsia" w:ascii="Times New Roman" w:hAnsi="Times New Roman" w:cs="Times New Roman"/>
                <w:b/>
                <w:bCs/>
                <w:sz w:val="24"/>
                <w:szCs w:val="24"/>
                <w:lang w:val="en-US" w:eastAsia="zh-CN"/>
              </w:rPr>
              <w:t>5</w:t>
            </w:r>
            <w:r>
              <w:rPr>
                <w:rFonts w:ascii="Times New Roman" w:hAnsi="Times New Roman" w:cs="Times New Roman"/>
                <w:b/>
                <w:bCs/>
                <w:sz w:val="24"/>
                <w:szCs w:val="24"/>
              </w:rPr>
              <w:t>个：</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黄河鑫业有限公司电解槽应用磷生铁浇铸及石墨化技术改造项目</w:t>
            </w:r>
          </w:p>
          <w:p>
            <w:pPr>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ascii="仿宋_GB2312" w:hAnsi="仿宋_GB2312" w:eastAsia="仿宋_GB2312" w:cs="仿宋_GB2312"/>
                <w:sz w:val="24"/>
                <w:szCs w:val="24"/>
              </w:rPr>
              <w:t>黄河鑫业有限公司</w:t>
            </w:r>
            <w:r>
              <w:rPr>
                <w:rFonts w:hint="eastAsia" w:ascii="仿宋_GB2312" w:hAnsi="仿宋_GB2312" w:eastAsia="仿宋_GB2312" w:cs="仿宋_GB2312"/>
                <w:sz w:val="24"/>
                <w:szCs w:val="24"/>
              </w:rPr>
              <w:t>阳极涂层技术应用</w:t>
            </w:r>
          </w:p>
          <w:p>
            <w:pPr>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 xml:space="preserve">中国铝业青海分公司 </w:t>
            </w:r>
            <w:r>
              <w:rPr>
                <w:rFonts w:hint="default" w:ascii="Times New Roman" w:hAnsi="Times New Roman" w:eastAsia="仿宋_GB2312" w:cs="Times New Roman"/>
                <w:sz w:val="24"/>
                <w:szCs w:val="24"/>
              </w:rPr>
              <w:t>600</w:t>
            </w:r>
            <w:r>
              <w:rPr>
                <w:rFonts w:ascii="仿宋_GB2312" w:hAnsi="仿宋_GB2312" w:eastAsia="仿宋_GB2312" w:cs="仿宋_GB2312"/>
                <w:sz w:val="24"/>
                <w:szCs w:val="24"/>
              </w:rPr>
              <w:t>kA 电解槽产能置换升级项目</w:t>
            </w:r>
          </w:p>
          <w:p>
            <w:pPr>
              <w:spacing w:line="44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青海百河铝业有限责任公司全石墨化阴极电解槽试验</w:t>
            </w:r>
            <w:r>
              <w:rPr>
                <w:rFonts w:hint="eastAsia" w:ascii="仿宋_GB2312" w:hAnsi="仿宋_GB2312" w:eastAsia="仿宋_GB2312" w:cs="仿宋_GB2312"/>
                <w:sz w:val="24"/>
                <w:szCs w:val="24"/>
                <w:lang w:eastAsia="zh-CN"/>
              </w:rPr>
              <w:t>项目</w:t>
            </w:r>
          </w:p>
          <w:p>
            <w:pPr>
              <w:spacing w:line="440" w:lineRule="exact"/>
              <w:rPr>
                <w:rFonts w:ascii="Times New Roman" w:hAnsi="Times New Roman" w:cs="Times New Roman"/>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青海海源绿能铝业有限公司分布式光伏建设项目</w:t>
            </w:r>
          </w:p>
        </w:tc>
      </w:tr>
    </w:tbl>
    <w:tbl>
      <w:tblPr>
        <w:tblStyle w:val="8"/>
        <w:tblpPr w:leftFromText="180" w:rightFromText="180" w:vertAnchor="text" w:horzAnchor="page" w:tblpX="1816" w:tblpY="930"/>
        <w:tblOverlap w:val="neve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2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sz w:val="24"/>
                <w:szCs w:val="24"/>
              </w:rPr>
            </w:pPr>
            <w:r>
              <w:rPr>
                <w:rFonts w:hint="eastAsia" w:ascii="楷体_GB2312" w:hAnsi="楷体_GB2312" w:eastAsia="楷体_GB2312" w:cs="楷体_GB2312"/>
                <w:sz w:val="28"/>
                <w:szCs w:val="28"/>
              </w:rPr>
              <w:t>专栏二 铅、锌、铜领域企业技术改造</w:t>
            </w:r>
            <w:r>
              <w:rPr>
                <w:rFonts w:hint="eastAsia" w:ascii="楷体_GB2312" w:hAnsi="楷体_GB2312" w:eastAsia="楷体_GB2312" w:cs="楷体_GB2312"/>
                <w:sz w:val="28"/>
                <w:szCs w:val="28"/>
                <w:lang w:eastAsia="zh-CN"/>
              </w:rPr>
              <w:t>计划</w:t>
            </w:r>
            <w:r>
              <w:rPr>
                <w:rFonts w:hint="eastAsia" w:ascii="楷体_GB2312" w:hAnsi="楷体_GB2312" w:eastAsia="楷体_GB2312" w:cs="楷体_GB2312"/>
                <w:sz w:val="28"/>
                <w:szCs w:val="28"/>
              </w:rPr>
              <w:t>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8520" w:type="dxa"/>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cs="Times New Roman"/>
                <w:b/>
                <w:bCs/>
                <w:sz w:val="24"/>
                <w:szCs w:val="24"/>
              </w:rPr>
            </w:pPr>
            <w:r>
              <w:rPr>
                <w:rFonts w:hint="eastAsia" w:ascii="Times New Roman" w:hAnsi="Times New Roman" w:cs="Times New Roman"/>
                <w:b/>
                <w:bCs/>
                <w:sz w:val="24"/>
                <w:szCs w:val="24"/>
              </w:rPr>
              <w:t>2022年底实施改造完成项目</w:t>
            </w:r>
            <w:r>
              <w:rPr>
                <w:rFonts w:ascii="Times New Roman" w:hAnsi="Times New Roman" w:cs="Times New Roman"/>
                <w:b/>
                <w:bCs/>
                <w:sz w:val="24"/>
                <w:szCs w:val="24"/>
              </w:rPr>
              <w:t>1</w:t>
            </w:r>
            <w:r>
              <w:rPr>
                <w:rFonts w:hint="eastAsia" w:ascii="Times New Roman" w:hAnsi="Times New Roman" w:cs="Times New Roman"/>
                <w:b/>
                <w:bCs/>
                <w:sz w:val="24"/>
                <w:szCs w:val="24"/>
              </w:rPr>
              <w:t>个：</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1.青海铜业有限责任公司外供同鑫化工及杭萧钢构蒸汽管网项目</w:t>
            </w:r>
          </w:p>
          <w:p>
            <w:pPr>
              <w:spacing w:line="440" w:lineRule="exact"/>
              <w:rPr>
                <w:rFonts w:ascii="Times New Roman" w:hAnsi="Times New Roman" w:cs="Times New Roman"/>
                <w:b/>
                <w:bCs/>
                <w:sz w:val="24"/>
                <w:szCs w:val="24"/>
              </w:rPr>
            </w:pPr>
            <w:r>
              <w:rPr>
                <w:rFonts w:hint="eastAsia" w:ascii="Times New Roman" w:hAnsi="Times New Roman" w:cs="Times New Roman"/>
                <w:b/>
                <w:bCs/>
                <w:sz w:val="24"/>
                <w:szCs w:val="24"/>
              </w:rPr>
              <w:t>2023年底拟实施改造完成项目</w:t>
            </w:r>
            <w:r>
              <w:rPr>
                <w:rFonts w:ascii="Times New Roman" w:hAnsi="Times New Roman" w:cs="Times New Roman"/>
                <w:b/>
                <w:bCs/>
                <w:sz w:val="24"/>
                <w:szCs w:val="24"/>
              </w:rPr>
              <w:t>1</w:t>
            </w:r>
            <w:r>
              <w:rPr>
                <w:rFonts w:hint="eastAsia" w:ascii="Times New Roman" w:hAnsi="Times New Roman" w:cs="Times New Roman"/>
                <w:b/>
                <w:bCs/>
                <w:sz w:val="24"/>
                <w:szCs w:val="24"/>
              </w:rPr>
              <w:t>个：</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1.西部矿业股份有限公司锌业分公司变压器更新项目</w:t>
            </w:r>
          </w:p>
          <w:p>
            <w:pPr>
              <w:spacing w:line="440" w:lineRule="exact"/>
              <w:rPr>
                <w:rFonts w:ascii="Times New Roman" w:hAnsi="Times New Roman" w:cs="Times New Roman"/>
                <w:b/>
                <w:bCs/>
                <w:sz w:val="24"/>
                <w:szCs w:val="24"/>
              </w:rPr>
            </w:pPr>
            <w:r>
              <w:rPr>
                <w:rFonts w:hint="eastAsia" w:ascii="Times New Roman" w:hAnsi="Times New Roman" w:cs="Times New Roman"/>
                <w:b/>
                <w:bCs/>
                <w:sz w:val="24"/>
                <w:szCs w:val="24"/>
              </w:rPr>
              <w:t>2024年底拟实施改造完成项目</w:t>
            </w:r>
            <w:r>
              <w:rPr>
                <w:rFonts w:ascii="Times New Roman" w:hAnsi="Times New Roman" w:cs="Times New Roman"/>
                <w:b/>
                <w:bCs/>
                <w:sz w:val="24"/>
                <w:szCs w:val="24"/>
              </w:rPr>
              <w:t>1</w:t>
            </w:r>
            <w:r>
              <w:rPr>
                <w:rFonts w:hint="eastAsia" w:ascii="Times New Roman" w:hAnsi="Times New Roman" w:cs="Times New Roman"/>
                <w:b/>
                <w:bCs/>
                <w:sz w:val="24"/>
                <w:szCs w:val="24"/>
              </w:rPr>
              <w:t>个：</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1.青海西豫有色金属有限公司多金属资源循环利用及环保升级改造项目项目</w:t>
            </w:r>
          </w:p>
          <w:p>
            <w:pPr>
              <w:spacing w:line="440" w:lineRule="exact"/>
              <w:rPr>
                <w:rFonts w:ascii="Times New Roman" w:hAnsi="Times New Roman" w:cs="Times New Roman"/>
                <w:b/>
                <w:bCs/>
                <w:sz w:val="24"/>
                <w:szCs w:val="24"/>
              </w:rPr>
            </w:pPr>
            <w:r>
              <w:rPr>
                <w:rFonts w:ascii="Times New Roman" w:hAnsi="Times New Roman" w:cs="Times New Roman"/>
                <w:b/>
                <w:bCs/>
                <w:sz w:val="24"/>
                <w:szCs w:val="24"/>
              </w:rPr>
              <w:t>2025年底拟实施改造完成项目</w:t>
            </w:r>
            <w:r>
              <w:rPr>
                <w:rFonts w:hint="eastAsia" w:ascii="Times New Roman" w:hAnsi="Times New Roman" w:cs="Times New Roman"/>
                <w:b/>
                <w:bCs/>
                <w:sz w:val="24"/>
                <w:szCs w:val="24"/>
              </w:rPr>
              <w:t>1</w:t>
            </w:r>
            <w:r>
              <w:rPr>
                <w:rFonts w:ascii="Times New Roman" w:hAnsi="Times New Roman" w:cs="Times New Roman"/>
                <w:b/>
                <w:bCs/>
                <w:sz w:val="24"/>
                <w:szCs w:val="24"/>
              </w:rPr>
              <w:t>个：</w:t>
            </w:r>
          </w:p>
          <w:p>
            <w:pPr>
              <w:spacing w:line="440" w:lineRule="exact"/>
              <w:rPr>
                <w:rFonts w:ascii="宋体" w:hAnsi="宋体"/>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青海铜业有限责任公司</w:t>
            </w:r>
            <w:r>
              <w:rPr>
                <w:rFonts w:hint="eastAsia" w:ascii="仿宋_GB2312" w:hAnsi="仿宋_GB2312" w:eastAsia="仿宋_GB2312" w:cs="仿宋_GB2312"/>
                <w:sz w:val="24"/>
                <w:szCs w:val="24"/>
              </w:rPr>
              <w:t xml:space="preserve">落后电机淘汰更新项目 </w:t>
            </w:r>
            <w:r>
              <w:rPr>
                <w:rFonts w:hint="eastAsia" w:ascii="宋体" w:hAnsi="宋体"/>
                <w:sz w:val="24"/>
                <w:szCs w:val="24"/>
              </w:rPr>
              <w:t xml:space="preserve"> </w:t>
            </w:r>
          </w:p>
        </w:tc>
      </w:tr>
    </w:tbl>
    <w:p>
      <w:pPr>
        <w:spacing w:line="560" w:lineRule="exact"/>
        <w:rPr>
          <w:rFonts w:hint="eastAsia" w:ascii="Times New Roman" w:hAnsi="Times New Roman" w:eastAsia="楷体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w:t>
      </w:r>
      <w:r>
        <w:rPr>
          <w:rFonts w:hint="eastAsia" w:ascii="Times New Roman" w:hAnsi="Times New Roman" w:eastAsia="楷体_GB2312" w:cs="Times New Roman"/>
          <w:color w:val="auto"/>
          <w:sz w:val="32"/>
          <w:szCs w:val="32"/>
          <w:highlight w:val="none"/>
          <w:lang w:val="en-US" w:eastAsia="zh-CN"/>
        </w:rPr>
        <w:t>二</w:t>
      </w:r>
      <w:r>
        <w:rPr>
          <w:rFonts w:hint="default" w:ascii="Times New Roman" w:hAnsi="Times New Roman" w:eastAsia="楷体_GB2312" w:cs="Times New Roman"/>
          <w:color w:val="auto"/>
          <w:sz w:val="32"/>
          <w:szCs w:val="32"/>
          <w:highlight w:val="none"/>
          <w:lang w:val="en-US" w:eastAsia="zh-CN"/>
        </w:rPr>
        <w:t>）加强节能降碳技术研发应用</w:t>
      </w:r>
      <w:r>
        <w:rPr>
          <w:rFonts w:hint="eastAsia" w:ascii="Times New Roman" w:hAnsi="Times New Roman" w:eastAsia="楷体_GB2312"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lang w:val="en-US" w:eastAsia="zh-CN"/>
        </w:rPr>
        <w:t>具备科研条件的</w:t>
      </w:r>
      <w:r>
        <w:rPr>
          <w:rFonts w:hint="eastAsia" w:ascii="仿宋_GB2312" w:hAnsi="仿宋_GB2312" w:eastAsia="仿宋_GB2312" w:cs="仿宋_GB2312"/>
          <w:sz w:val="32"/>
          <w:szCs w:val="32"/>
          <w:lang w:eastAsia="zh-CN"/>
        </w:rPr>
        <w:t>有色金属冶炼企业加强节能降碳技术装备研发，收集整理运行稳定、节能效果好、易于复制推广的节能技术，结合《产业结构调整指导目录》（鼓励类）《绿色技术推广目录》《高耗能行业重点领域节能降碳改造升级实施指南（2022年版）》等明确的先进成熟技术，加快</w:t>
      </w:r>
      <w:r>
        <w:rPr>
          <w:rFonts w:hint="eastAsia" w:ascii="仿宋_GB2312" w:hAnsi="仿宋_GB2312" w:eastAsia="仿宋_GB2312" w:cs="仿宋_GB2312"/>
          <w:sz w:val="32"/>
          <w:szCs w:val="32"/>
          <w:lang w:val="en-US" w:eastAsia="zh-CN"/>
        </w:rPr>
        <w:t>省内同行业企业</w:t>
      </w:r>
      <w:r>
        <w:rPr>
          <w:rFonts w:hint="eastAsia" w:ascii="仿宋_GB2312" w:hAnsi="仿宋_GB2312" w:eastAsia="仿宋_GB2312" w:cs="仿宋_GB2312"/>
          <w:sz w:val="32"/>
          <w:szCs w:val="32"/>
          <w:lang w:eastAsia="zh-CN"/>
        </w:rPr>
        <w:t>推广应用。</w:t>
      </w:r>
      <w:r>
        <w:rPr>
          <w:rFonts w:hint="eastAsia" w:ascii="仿宋_GB2312" w:hAnsi="仿宋_GB2312" w:eastAsia="仿宋_GB2312" w:cs="仿宋_GB2312"/>
          <w:color w:val="auto"/>
          <w:sz w:val="32"/>
          <w:szCs w:val="32"/>
          <w:highlight w:val="none"/>
          <w:lang w:val="en-US" w:eastAsia="zh-CN"/>
        </w:rPr>
        <w:t>建设绿色工厂，进一步提升能源利用效率。鼓励发展循环经济，加强余热、余压回收，实现能量梯级利用。鼓励企业探索从蒸汽驱动向电力驱动转变，开展供电系统适应性改造。</w:t>
      </w:r>
      <w:r>
        <w:rPr>
          <w:rFonts w:hint="eastAsia" w:ascii="仿宋_GB2312" w:hAnsi="仿宋_GB2312" w:eastAsia="仿宋_GB2312" w:cs="仿宋_GB2312"/>
          <w:b/>
          <w:bCs/>
          <w:sz w:val="32"/>
          <w:szCs w:val="32"/>
          <w:lang w:eastAsia="zh-CN"/>
        </w:rPr>
        <w:t>（省发展改革委、省科技厅、省工业和信息化厅，西宁市、海东市、海西州人民政府按职责分工负责）</w:t>
      </w:r>
    </w:p>
    <w:tbl>
      <w:tblPr>
        <w:tblStyle w:val="9"/>
        <w:tblW w:w="8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80" w:type="dxa"/>
            <w:vAlign w:val="top"/>
          </w:tcPr>
          <w:p>
            <w:pPr>
              <w:widowControl w:val="0"/>
              <w:wordWrap/>
              <w:adjustRightInd/>
              <w:snapToGrid/>
              <w:spacing w:before="0" w:beforeAutospacing="0" w:after="0" w:afterAutospacing="0" w:line="500" w:lineRule="exact"/>
              <w:ind w:left="0" w:leftChars="0" w:right="0"/>
              <w:jc w:val="center"/>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sz w:val="28"/>
                <w:szCs w:val="28"/>
                <w:lang w:eastAsia="zh-CN"/>
              </w:rPr>
              <w:t>专栏</w:t>
            </w:r>
            <w:r>
              <w:rPr>
                <w:rFonts w:hint="eastAsia" w:ascii="Times New Roman" w:hAnsi="Times New Roman" w:eastAsia="楷体_GB2312" w:cs="Times New Roman"/>
                <w:sz w:val="28"/>
                <w:szCs w:val="28"/>
                <w:lang w:eastAsia="zh-CN"/>
              </w:rPr>
              <w:t>四</w:t>
            </w:r>
            <w:r>
              <w:rPr>
                <w:rFonts w:hint="default" w:ascii="Times New Roman" w:hAnsi="Times New Roman" w:eastAsia="楷体_GB2312" w:cs="Times New Roman"/>
                <w:sz w:val="28"/>
                <w:szCs w:val="28"/>
                <w:lang w:eastAsia="zh-CN"/>
              </w:rPr>
              <w:t xml:space="preserve">  </w:t>
            </w:r>
            <w:r>
              <w:rPr>
                <w:rFonts w:hint="eastAsia" w:ascii="Times New Roman" w:hAnsi="Times New Roman" w:eastAsia="楷体_GB2312" w:cs="Times New Roman"/>
                <w:sz w:val="28"/>
                <w:szCs w:val="28"/>
                <w:lang w:eastAsia="zh-CN"/>
              </w:rPr>
              <w:t>有色金属冶炼</w:t>
            </w:r>
            <w:r>
              <w:rPr>
                <w:rFonts w:hint="default" w:ascii="Times New Roman" w:hAnsi="Times New Roman" w:eastAsia="楷体_GB2312" w:cs="Times New Roman"/>
                <w:sz w:val="28"/>
                <w:szCs w:val="28"/>
                <w:lang w:eastAsia="zh-CN"/>
              </w:rPr>
              <w:t>领域绿色低碳技术重点方向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80" w:type="dxa"/>
            <w:vAlign w:val="top"/>
          </w:tcPr>
          <w:p>
            <w:pPr>
              <w:widowControl w:val="0"/>
              <w:wordWrap/>
              <w:adjustRightInd/>
              <w:snapToGrid/>
              <w:spacing w:before="0" w:beforeAutospacing="0" w:after="0" w:afterAutospacing="0" w:line="500" w:lineRule="exact"/>
              <w:ind w:right="0" w:firstLine="481" w:firstLineChars="200"/>
              <w:jc w:val="both"/>
              <w:textAlignment w:val="auto"/>
              <w:outlineLvl w:val="9"/>
              <w:rPr>
                <w:rFonts w:hint="default" w:ascii="仿宋_GB2312" w:hAnsi="仿宋_GB2312" w:eastAsia="仿宋_GB2312" w:cs="仿宋_GB2312"/>
                <w:sz w:val="24"/>
                <w:szCs w:val="24"/>
                <w:lang w:val="en-US" w:eastAsia="zh-CN"/>
              </w:rPr>
            </w:pPr>
            <w:r>
              <w:rPr>
                <w:rFonts w:hint="default" w:ascii="Times New Roman" w:hAnsi="Times New Roman" w:eastAsia="楷体_GB2312" w:cs="Times New Roman"/>
                <w:b/>
                <w:bCs/>
                <w:color w:val="auto"/>
                <w:sz w:val="24"/>
                <w:szCs w:val="24"/>
                <w:highlight w:val="none"/>
                <w:lang w:val="en-US" w:eastAsia="zh-CN"/>
              </w:rPr>
              <w:t>加强先进技术攻关</w:t>
            </w:r>
            <w:r>
              <w:rPr>
                <w:rFonts w:hint="default" w:ascii="Times New Roman" w:hAnsi="Times New Roman" w:eastAsia="楷体_GB2312" w:cs="Times New Roman"/>
                <w:b/>
                <w:bCs/>
                <w:color w:val="auto"/>
                <w:sz w:val="24"/>
                <w:szCs w:val="24"/>
                <w:highlight w:val="none"/>
                <w:lang w:eastAsia="zh-CN"/>
              </w:rPr>
              <w:t>：</w:t>
            </w:r>
            <w:r>
              <w:rPr>
                <w:rFonts w:hint="default" w:ascii="仿宋_GB2312" w:hAnsi="仿宋_GB2312" w:eastAsia="仿宋_GB2312" w:cs="仿宋_GB2312"/>
                <w:sz w:val="24"/>
                <w:szCs w:val="24"/>
                <w:lang w:val="en-US" w:eastAsia="zh-CN"/>
              </w:rPr>
              <w:t>开展高质量阳极技术、电解槽综合能源优化、数字化智能电解槽、铜冶炼多金属回收及能源高效利用、铅冶炼能源系统优化、锌湿法冶 金多金属回收、浸出渣资源化利用新技术等一批共性关键技术的研发应用。探索一批铝电解惰性阳极、新型火法炼锌技术等低碳零碳颠覆性技术。</w:t>
            </w:r>
          </w:p>
          <w:p>
            <w:pPr>
              <w:widowControl w:val="0"/>
              <w:wordWrap/>
              <w:adjustRightInd/>
              <w:snapToGrid/>
              <w:spacing w:before="0" w:beforeAutospacing="0" w:after="0" w:afterAutospacing="0" w:line="500" w:lineRule="exact"/>
              <w:ind w:right="0" w:firstLine="481" w:firstLineChars="200"/>
              <w:jc w:val="both"/>
              <w:textAlignment w:val="auto"/>
              <w:outlineLvl w:val="9"/>
              <w:rPr>
                <w:rFonts w:hint="default" w:ascii="Times New Roman" w:hAnsi="Times New Roman" w:eastAsia="楷体_GB2312" w:cs="Times New Roman"/>
                <w:color w:val="auto"/>
                <w:sz w:val="24"/>
                <w:szCs w:val="24"/>
                <w:highlight w:val="none"/>
                <w:lang w:eastAsia="zh-CN"/>
              </w:rPr>
            </w:pPr>
            <w:r>
              <w:rPr>
                <w:rFonts w:hint="eastAsia" w:ascii="楷体_GB2312" w:hAnsi="楷体_GB2312" w:eastAsia="楷体_GB2312" w:cs="楷体_GB2312"/>
                <w:b/>
                <w:bCs/>
                <w:sz w:val="24"/>
                <w:szCs w:val="24"/>
                <w:lang w:val="en-US" w:eastAsia="zh-CN"/>
              </w:rPr>
              <w:t>加快成熟工艺普及推广：</w:t>
            </w:r>
            <w:r>
              <w:rPr>
                <w:rFonts w:hint="default" w:ascii="仿宋_GB2312" w:hAnsi="仿宋_GB2312" w:eastAsia="仿宋_GB2312" w:cs="仿宋_GB2312"/>
                <w:sz w:val="24"/>
                <w:szCs w:val="24"/>
                <w:lang w:val="en-US" w:eastAsia="zh-CN"/>
              </w:rPr>
              <w:t>电解铝领域重点推动电解铝新型稳流保温铝电解槽节能改造、铝电解槽大型化、电解槽结构优化与智能控制、铝电解槽能量流优化及余热回收等节能低碳技术改造，鼓励电解铝企业提升清洁能源消纳能力。铜、铅、锌冶炼领域重点推动短流程冶炼、旋浮炼铜、铜阳极纯氧燃烧、液态高铅渣直接还原、高效湿法锌冶炼技术、锌精矿大型化焙烧技术、赤铁矿法除铁炼锌工艺、多孔介质燃烧技术、侧吹还原熔炼粉煤浸没喷吹技术等节能低碳技术改造。建设企业能源系统优化控制中心</w:t>
            </w:r>
            <w:r>
              <w:rPr>
                <w:rFonts w:hint="eastAsia" w:ascii="仿宋_GB2312" w:hAnsi="仿宋_GB2312" w:eastAsia="仿宋_GB2312" w:cs="仿宋_GB2312"/>
                <w:sz w:val="24"/>
                <w:szCs w:val="24"/>
                <w:lang w:val="en-US" w:eastAsia="zh-CN"/>
              </w:rPr>
              <w:t>。</w:t>
            </w:r>
            <w:r>
              <w:rPr>
                <w:rFonts w:hint="default" w:ascii="仿宋_GB2312" w:hAnsi="仿宋_GB2312" w:eastAsia="仿宋_GB2312" w:cs="仿宋_GB2312"/>
                <w:sz w:val="24"/>
                <w:szCs w:val="24"/>
                <w:lang w:val="en-US" w:eastAsia="zh-CN"/>
              </w:rPr>
              <w:t>淘汰能耗高的风机、水泵、电机等用能设备，推进通用设备升级换代。 结合电解铝和铜铅锌冶炼工艺特点、实 施节能降碳和污染物治理协同控制。创新工艺流程再造。鼓励有色、钢铁和建材等企业间区域流程优化整合，实现流程再造，推进跨行业相融发展。</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w:t>
      </w:r>
      <w:r>
        <w:rPr>
          <w:rFonts w:hint="eastAsia" w:ascii="Times New Roman" w:hAnsi="Times New Roman" w:eastAsia="楷体_GB2312" w:cs="Times New Roman"/>
          <w:color w:val="auto"/>
          <w:sz w:val="32"/>
          <w:szCs w:val="32"/>
          <w:highlight w:val="none"/>
          <w:lang w:val="en-US" w:eastAsia="zh-CN"/>
        </w:rPr>
        <w:t>三</w:t>
      </w:r>
      <w:r>
        <w:rPr>
          <w:rFonts w:hint="default" w:ascii="Times New Roman" w:hAnsi="Times New Roman" w:eastAsia="楷体_GB2312" w:cs="Times New Roman"/>
          <w:color w:val="auto"/>
          <w:sz w:val="32"/>
          <w:szCs w:val="32"/>
          <w:highlight w:val="none"/>
          <w:lang w:val="en-US" w:eastAsia="zh-CN"/>
        </w:rPr>
        <w:t>）推动产业集聚融合发展</w:t>
      </w:r>
      <w:r>
        <w:rPr>
          <w:rFonts w:hint="eastAsia" w:ascii="Times New Roman" w:hAnsi="Times New Roman" w:eastAsia="楷体_GB2312"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default" w:ascii="仿宋_GB2312" w:eastAsia="仿宋_GB2312"/>
          <w:sz w:val="32"/>
          <w:szCs w:val="32"/>
          <w:lang w:val="en-US" w:eastAsia="zh-CN"/>
        </w:rPr>
        <w:t>聚焦</w:t>
      </w:r>
      <w:r>
        <w:rPr>
          <w:rFonts w:hint="eastAsia" w:ascii="仿宋_GB2312" w:eastAsia="仿宋_GB2312"/>
          <w:sz w:val="32"/>
          <w:szCs w:val="32"/>
        </w:rPr>
        <w:t>我省</w:t>
      </w:r>
      <w:r>
        <w:rPr>
          <w:rFonts w:hint="eastAsia" w:ascii="仿宋_GB2312" w:eastAsia="仿宋_GB2312"/>
          <w:sz w:val="32"/>
          <w:szCs w:val="32"/>
          <w:lang w:eastAsia="zh-CN"/>
        </w:rPr>
        <w:t>工业</w:t>
      </w:r>
      <w:r>
        <w:rPr>
          <w:rFonts w:hint="eastAsia" w:ascii="仿宋_GB2312" w:eastAsia="仿宋_GB2312"/>
          <w:sz w:val="32"/>
          <w:szCs w:val="32"/>
        </w:rPr>
        <w:t>园区</w:t>
      </w:r>
      <w:r>
        <w:rPr>
          <w:rFonts w:hint="default" w:ascii="仿宋_GB2312" w:eastAsia="仿宋_GB2312"/>
          <w:sz w:val="32"/>
          <w:szCs w:val="32"/>
          <w:lang w:val="en-US" w:eastAsia="zh-CN"/>
        </w:rPr>
        <w:t>集中集聚发展，</w:t>
      </w:r>
      <w:r>
        <w:rPr>
          <w:rFonts w:hint="eastAsia" w:ascii="仿宋_GB2312" w:eastAsia="仿宋_GB2312"/>
          <w:sz w:val="32"/>
          <w:szCs w:val="32"/>
        </w:rPr>
        <w:t>新建拟建项目应对照我省园区功能定位</w:t>
      </w:r>
      <w:r>
        <w:rPr>
          <w:rFonts w:hint="eastAsia" w:ascii="仿宋_GB2312" w:eastAsia="仿宋_GB2312"/>
          <w:sz w:val="32"/>
          <w:szCs w:val="32"/>
          <w:lang w:eastAsia="zh-CN"/>
        </w:rPr>
        <w:t>入驻</w:t>
      </w:r>
      <w:r>
        <w:rPr>
          <w:rFonts w:hint="eastAsia" w:ascii="仿宋_GB2312" w:eastAsia="仿宋_GB2312"/>
          <w:sz w:val="32"/>
          <w:szCs w:val="32"/>
        </w:rPr>
        <w:t>，</w:t>
      </w:r>
      <w:r>
        <w:rPr>
          <w:rFonts w:hint="default" w:ascii="仿宋_GB2312" w:eastAsia="仿宋_GB2312"/>
          <w:sz w:val="32"/>
          <w:szCs w:val="32"/>
          <w:lang w:eastAsia="zh-CN"/>
        </w:rPr>
        <w:t>提升能源环境等基础设施使用效率</w:t>
      </w:r>
      <w:r>
        <w:rPr>
          <w:rFonts w:hint="eastAsia" w:ascii="仿宋_GB2312" w:eastAsia="仿宋_GB2312"/>
          <w:sz w:val="32"/>
          <w:szCs w:val="32"/>
          <w:lang w:eastAsia="zh-CN"/>
        </w:rPr>
        <w:t>，</w:t>
      </w:r>
      <w:r>
        <w:rPr>
          <w:rFonts w:hint="eastAsia" w:ascii="仿宋_GB2312" w:eastAsia="仿宋_GB2312"/>
          <w:sz w:val="32"/>
          <w:szCs w:val="32"/>
        </w:rPr>
        <w:t>推动优势产业互补，推进能源资源梯级利用，促进区域协调发展。支持关联产业集群化发展，构建企业首尾相连、互为供需和能源系统、公辅设施互联互通的产业链，减少物流运输能源消耗，提高资源综合利用水平。鼓励不同产业和行业融合发展，提高资源转化效率，实现协同节能降碳。</w:t>
      </w:r>
      <w:r>
        <w:rPr>
          <w:rFonts w:hint="eastAsia" w:ascii="仿宋_GB2312" w:hAnsi="仿宋_GB2312" w:eastAsia="仿宋_GB2312" w:cs="仿宋_GB2312"/>
          <w:b/>
          <w:bCs/>
          <w:sz w:val="32"/>
          <w:szCs w:val="32"/>
          <w:lang w:eastAsia="zh-CN"/>
        </w:rPr>
        <w:t>（省工业和信</w:t>
      </w:r>
      <w:r>
        <w:rPr>
          <w:rFonts w:hint="eastAsia" w:ascii="仿宋_GB2312" w:hAnsi="仿宋_GB2312" w:eastAsia="仿宋_GB2312" w:cs="仿宋_GB2312"/>
          <w:b/>
          <w:bCs/>
          <w:color w:val="auto"/>
          <w:sz w:val="32"/>
          <w:szCs w:val="32"/>
          <w:lang w:eastAsia="zh-CN"/>
        </w:rPr>
        <w:t>息化厅、</w:t>
      </w:r>
      <w:r>
        <w:rPr>
          <w:rFonts w:hint="eastAsia" w:ascii="Times New Roman" w:hAnsi="Times New Roman" w:eastAsia="仿宋_GB2312" w:cs="Times New Roman"/>
          <w:b/>
          <w:bCs/>
          <w:color w:val="auto"/>
          <w:sz w:val="32"/>
          <w:szCs w:val="32"/>
          <w:lang w:val="en-US" w:eastAsia="zh-CN"/>
        </w:rPr>
        <w:t>省自然资源厅、省生态环境厅、省水利厅、</w:t>
      </w:r>
      <w:r>
        <w:rPr>
          <w:rFonts w:hint="eastAsia" w:ascii="仿宋_GB2312" w:hAnsi="仿宋_GB2312" w:eastAsia="仿宋_GB2312" w:cs="仿宋_GB2312"/>
          <w:b/>
          <w:bCs/>
          <w:color w:val="auto"/>
          <w:sz w:val="32"/>
          <w:szCs w:val="32"/>
          <w:lang w:eastAsia="zh-CN"/>
        </w:rPr>
        <w:t>西宁市、海东市、海西州人民政府按职责分工负责）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黑体" w:hAnsi="黑体" w:eastAsia="黑体" w:cs="黑体"/>
          <w:b w:val="0"/>
          <w:bCs w:val="0"/>
          <w:color w:val="auto"/>
          <w:kern w:val="0"/>
          <w:sz w:val="32"/>
          <w:szCs w:val="32"/>
          <w:lang w:eastAsia="zh-CN"/>
        </w:rPr>
      </w:pPr>
      <w:r>
        <w:rPr>
          <w:rFonts w:hint="eastAsia" w:ascii="黑体" w:hAnsi="黑体" w:eastAsia="黑体" w:cs="黑体"/>
          <w:b w:val="0"/>
          <w:bCs w:val="0"/>
          <w:color w:val="auto"/>
          <w:kern w:val="0"/>
          <w:sz w:val="32"/>
          <w:szCs w:val="32"/>
        </w:rPr>
        <w:t>三、</w:t>
      </w:r>
      <w:r>
        <w:rPr>
          <w:rFonts w:hint="eastAsia" w:ascii="黑体" w:hAnsi="黑体" w:eastAsia="黑体" w:cs="黑体"/>
          <w:b w:val="0"/>
          <w:bCs w:val="0"/>
          <w:color w:val="auto"/>
          <w:kern w:val="0"/>
          <w:sz w:val="32"/>
          <w:szCs w:val="32"/>
          <w:lang w:eastAsia="zh-CN"/>
        </w:rPr>
        <w:t>工作要求</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有关部门要加强协同配合，形成工作合力，确保各项工作按时限要求有序推进。各地方要高度重视，进一步靠实属地责任，切实发挥监管职能，确保相关政策标准和要求执行到位。有关行业协会要充分发挥桥梁纽带作用，引导行业企业凝聚共识，形成一致行动，协同推进节能降碳工作。有关企业要强化绿色低碳发展意识，落实主体责任，严格按照时间节点要求完成各项技改任务，不断提高能效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28"/>
          <w:sz w:val="32"/>
          <w:szCs w:val="32"/>
          <w:lang w:val="en-US" w:eastAsia="zh-CN"/>
        </w:rPr>
        <w:t>电解铝、铜铅锌冶炼企业能效基准水平和标杆水平表</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553"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kern w:val="0"/>
          <w:sz w:val="32"/>
          <w:szCs w:val="32"/>
          <w:lang w:val="en-US" w:eastAsia="zh-CN"/>
        </w:rPr>
        <w:t>青海省有色金属冶炼行业能效水平清单</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553"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pacing w:val="-51"/>
          <w:sz w:val="32"/>
          <w:szCs w:val="32"/>
          <w:lang w:val="en-US" w:eastAsia="zh-CN"/>
        </w:rPr>
        <w:t>青海省重点领域有色金属冶炼领域企业节能技术改造项目清单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z w:val="32"/>
          <w:szCs w:val="32"/>
          <w:lang w:eastAsia="zh-CN"/>
        </w:rPr>
      </w:pPr>
    </w:p>
    <w:p>
      <w:pPr>
        <w:spacing w:line="560" w:lineRule="exact"/>
        <w:jc w:val="left"/>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楷体_GB2312" w:cs="Times New Roman"/>
          <w:sz w:val="32"/>
          <w:szCs w:val="32"/>
          <w:lang w:val="en-US" w:eastAsia="zh-CN"/>
        </w:rPr>
      </w:pPr>
    </w:p>
    <w:p>
      <w:pPr>
        <w:spacing w:line="560" w:lineRule="exact"/>
        <w:jc w:val="center"/>
        <w:rPr>
          <w:rFonts w:hint="default" w:ascii="Times New Roman" w:hAnsi="Times New Roman" w:eastAsia="楷体_GB2312" w:cs="Times New Roman"/>
          <w:sz w:val="32"/>
          <w:szCs w:val="32"/>
          <w:lang w:val="en-US" w:eastAsia="zh-CN"/>
        </w:rPr>
      </w:pPr>
    </w:p>
    <w:p>
      <w:pPr>
        <w:spacing w:line="560" w:lineRule="exact"/>
        <w:jc w:val="left"/>
        <w:rPr>
          <w:rFonts w:hint="eastAsia" w:ascii="黑体" w:hAnsi="黑体" w:eastAsia="黑体" w:cs="黑体"/>
          <w:sz w:val="32"/>
          <w:szCs w:val="32"/>
          <w:lang w:val="en-US" w:eastAsia="zh-CN"/>
        </w:rPr>
      </w:pPr>
    </w:p>
    <w:p>
      <w:pPr>
        <w:spacing w:line="560" w:lineRule="exact"/>
        <w:jc w:val="left"/>
        <w:rPr>
          <w:rFonts w:hint="eastAsia" w:ascii="黑体" w:hAnsi="黑体" w:eastAsia="黑体" w:cs="黑体"/>
          <w:sz w:val="32"/>
          <w:szCs w:val="32"/>
          <w:lang w:val="en-US" w:eastAsia="zh-CN"/>
        </w:rPr>
      </w:pPr>
    </w:p>
    <w:p>
      <w:pPr>
        <w:spacing w:line="560" w:lineRule="exact"/>
        <w:jc w:val="left"/>
        <w:rPr>
          <w:rFonts w:hint="eastAsia" w:ascii="黑体" w:hAnsi="黑体" w:eastAsia="黑体" w:cs="黑体"/>
          <w:sz w:val="32"/>
          <w:szCs w:val="32"/>
          <w:lang w:val="en-US" w:eastAsia="zh-CN"/>
        </w:rPr>
      </w:pPr>
    </w:p>
    <w:p>
      <w:pPr>
        <w:spacing w:line="560" w:lineRule="exact"/>
        <w:jc w:val="left"/>
        <w:rPr>
          <w:rFonts w:hint="eastAsia" w:ascii="黑体" w:hAnsi="黑体" w:eastAsia="黑体" w:cs="黑体"/>
          <w:sz w:val="32"/>
          <w:szCs w:val="32"/>
          <w:lang w:val="en-US" w:eastAsia="zh-CN"/>
        </w:rPr>
      </w:pPr>
    </w:p>
    <w:p>
      <w:pPr>
        <w:spacing w:line="560" w:lineRule="exact"/>
        <w:jc w:val="left"/>
        <w:rPr>
          <w:rFonts w:hint="eastAsia" w:ascii="黑体" w:hAnsi="黑体" w:eastAsia="黑体" w:cs="黑体"/>
          <w:sz w:val="32"/>
          <w:szCs w:val="32"/>
          <w:lang w:val="en-US" w:eastAsia="zh-CN"/>
        </w:rPr>
      </w:pPr>
    </w:p>
    <w:p>
      <w:pPr>
        <w:spacing w:line="560" w:lineRule="exact"/>
        <w:jc w:val="left"/>
        <w:rPr>
          <w:rFonts w:hint="eastAsia" w:ascii="黑体" w:hAnsi="黑体" w:eastAsia="黑体" w:cs="黑体"/>
          <w:sz w:val="32"/>
          <w:szCs w:val="32"/>
          <w:lang w:val="en-US" w:eastAsia="zh-CN"/>
        </w:rPr>
      </w:pPr>
    </w:p>
    <w:p>
      <w:pPr>
        <w:spacing w:line="560" w:lineRule="exact"/>
        <w:jc w:val="left"/>
        <w:rPr>
          <w:rFonts w:hint="eastAsia" w:ascii="黑体" w:hAnsi="黑体" w:eastAsia="黑体" w:cs="黑体"/>
          <w:sz w:val="32"/>
          <w:szCs w:val="32"/>
          <w:lang w:val="en-US" w:eastAsia="zh-CN"/>
        </w:rPr>
      </w:pPr>
    </w:p>
    <w:p>
      <w:pPr>
        <w:spacing w:line="560" w:lineRule="exact"/>
        <w:jc w:val="left"/>
        <w:rPr>
          <w:rFonts w:hint="eastAsia" w:ascii="黑体" w:hAnsi="黑体" w:eastAsia="黑体" w:cs="黑体"/>
          <w:sz w:val="32"/>
          <w:szCs w:val="32"/>
          <w:lang w:val="en-US" w:eastAsia="zh-CN"/>
        </w:rPr>
      </w:pPr>
    </w:p>
    <w:p>
      <w:pPr>
        <w:spacing w:line="560" w:lineRule="exact"/>
        <w:jc w:val="left"/>
        <w:rPr>
          <w:rFonts w:hint="eastAsia" w:ascii="黑体" w:hAnsi="黑体" w:eastAsia="黑体" w:cs="黑体"/>
          <w:sz w:val="32"/>
          <w:szCs w:val="32"/>
          <w:lang w:val="en-US" w:eastAsia="zh-CN"/>
        </w:rPr>
      </w:pPr>
    </w:p>
    <w:p>
      <w:pPr>
        <w:spacing w:line="560" w:lineRule="exact"/>
        <w:jc w:val="left"/>
        <w:rPr>
          <w:rFonts w:hint="eastAsia" w:ascii="黑体" w:hAnsi="黑体" w:eastAsia="黑体" w:cs="黑体"/>
          <w:sz w:val="32"/>
          <w:szCs w:val="32"/>
          <w:lang w:val="en-US" w:eastAsia="zh-CN"/>
        </w:rPr>
      </w:pPr>
    </w:p>
    <w:p>
      <w:pPr>
        <w:spacing w:line="560" w:lineRule="exact"/>
        <w:jc w:val="left"/>
        <w:rPr>
          <w:rFonts w:hint="eastAsia" w:ascii="黑体" w:hAnsi="黑体" w:eastAsia="黑体" w:cs="黑体"/>
          <w:sz w:val="32"/>
          <w:szCs w:val="32"/>
          <w:lang w:val="en-US" w:eastAsia="zh-CN"/>
        </w:rPr>
      </w:pPr>
    </w:p>
    <w:p>
      <w:pPr>
        <w:spacing w:line="560" w:lineRule="exact"/>
        <w:jc w:val="left"/>
        <w:rPr>
          <w:rFonts w:hint="eastAsia" w:ascii="黑体" w:hAnsi="黑体" w:eastAsia="黑体" w:cs="黑体"/>
          <w:sz w:val="32"/>
          <w:szCs w:val="32"/>
          <w:lang w:val="en-US" w:eastAsia="zh-CN"/>
        </w:rPr>
      </w:pPr>
    </w:p>
    <w:p>
      <w:pPr>
        <w:spacing w:line="560" w:lineRule="exact"/>
        <w:jc w:val="left"/>
        <w:rPr>
          <w:rFonts w:hint="eastAsia" w:ascii="黑体" w:hAnsi="黑体" w:eastAsia="黑体" w:cs="黑体"/>
          <w:sz w:val="32"/>
          <w:szCs w:val="32"/>
          <w:lang w:val="en-US" w:eastAsia="zh-CN"/>
        </w:rPr>
      </w:pPr>
    </w:p>
    <w:p>
      <w:pPr>
        <w:spacing w:line="560" w:lineRule="exact"/>
        <w:jc w:val="left"/>
        <w:rPr>
          <w:rFonts w:hint="eastAsia" w:ascii="黑体" w:hAnsi="黑体" w:eastAsia="黑体" w:cs="黑体"/>
          <w:sz w:val="32"/>
          <w:szCs w:val="32"/>
          <w:lang w:val="en-US" w:eastAsia="zh-CN"/>
        </w:rPr>
      </w:pPr>
    </w:p>
    <w:p>
      <w:pPr>
        <w:spacing w:line="560" w:lineRule="exact"/>
        <w:jc w:val="left"/>
        <w:rPr>
          <w:rFonts w:hint="eastAsia" w:ascii="黑体" w:hAnsi="黑体" w:eastAsia="黑体" w:cs="黑体"/>
          <w:sz w:val="32"/>
          <w:szCs w:val="32"/>
          <w:lang w:val="en-US" w:eastAsia="zh-CN"/>
        </w:rPr>
      </w:pPr>
    </w:p>
    <w:p>
      <w:pPr>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widowControl w:val="0"/>
        <w:wordWrap/>
        <w:adjustRightInd/>
        <w:snapToGrid/>
        <w:spacing w:line="640" w:lineRule="exact"/>
        <w:ind w:right="0"/>
        <w:jc w:val="center"/>
        <w:textAlignment w:val="auto"/>
        <w:outlineLvl w:val="9"/>
        <w:rPr>
          <w:rFonts w:hint="default" w:ascii="方正小标宋简体" w:hAnsi="方正小标宋简体" w:eastAsia="方正小标宋简体" w:cs="方正小标宋简体"/>
          <w:color w:val="auto"/>
          <w:kern w:val="0"/>
          <w:sz w:val="32"/>
          <w:szCs w:val="32"/>
          <w:lang w:val="en-US" w:eastAsia="zh-CN"/>
        </w:rPr>
      </w:pPr>
      <w:r>
        <w:rPr>
          <w:rFonts w:hint="eastAsia" w:ascii="方正小标宋简体" w:hAnsi="方正小标宋简体" w:eastAsia="方正小标宋简体" w:cs="方正小标宋简体"/>
          <w:color w:val="auto"/>
          <w:kern w:val="0"/>
          <w:sz w:val="32"/>
          <w:szCs w:val="32"/>
          <w:lang w:val="en-US" w:eastAsia="zh-CN"/>
        </w:rPr>
        <w:t>电解铝、铜铅锌冶炼企业</w:t>
      </w:r>
      <w:r>
        <w:rPr>
          <w:rFonts w:hint="default" w:ascii="方正小标宋简体" w:hAnsi="方正小标宋简体" w:eastAsia="方正小标宋简体" w:cs="方正小标宋简体"/>
          <w:color w:val="auto"/>
          <w:kern w:val="0"/>
          <w:sz w:val="32"/>
          <w:szCs w:val="32"/>
          <w:lang w:val="en-US" w:eastAsia="zh-CN"/>
        </w:rPr>
        <w:t>能效基准水平和标杆水平表</w:t>
      </w:r>
    </w:p>
    <w:tbl>
      <w:tblPr>
        <w:tblStyle w:val="8"/>
        <w:tblW w:w="9831" w:type="dxa"/>
        <w:tblInd w:w="-6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24"/>
        <w:gridCol w:w="830"/>
        <w:gridCol w:w="2066"/>
        <w:gridCol w:w="1557"/>
        <w:gridCol w:w="1466"/>
        <w:gridCol w:w="946"/>
        <w:gridCol w:w="1177"/>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exact"/>
        </w:trPr>
        <w:tc>
          <w:tcPr>
            <w:tcW w:w="62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黑体" w:hAnsi="黑体" w:eastAsia="黑体" w:cs="黑体"/>
                <w:b w:val="0"/>
                <w:bCs w:val="0"/>
                <w:spacing w:val="-6"/>
                <w:sz w:val="18"/>
                <w:szCs w:val="18"/>
                <w:lang w:val="en-US" w:eastAsia="zh-CN"/>
              </w:rPr>
            </w:pPr>
            <w:r>
              <w:rPr>
                <w:rFonts w:hint="default" w:ascii="黑体" w:hAnsi="黑体" w:eastAsia="黑体" w:cs="黑体"/>
                <w:b w:val="0"/>
                <w:bCs w:val="0"/>
                <w:spacing w:val="-6"/>
                <w:sz w:val="18"/>
                <w:szCs w:val="18"/>
                <w:lang w:val="en-US" w:eastAsia="zh-CN"/>
              </w:rPr>
              <w:t>序号</w:t>
            </w:r>
          </w:p>
        </w:tc>
        <w:tc>
          <w:tcPr>
            <w:tcW w:w="289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黑体" w:hAnsi="黑体" w:eastAsia="黑体" w:cs="黑体"/>
                <w:b w:val="0"/>
                <w:bCs w:val="0"/>
                <w:spacing w:val="-6"/>
                <w:sz w:val="18"/>
                <w:szCs w:val="18"/>
                <w:lang w:val="en-US" w:eastAsia="zh-CN"/>
              </w:rPr>
            </w:pPr>
            <w:r>
              <w:rPr>
                <w:rFonts w:hint="default" w:ascii="黑体" w:hAnsi="黑体" w:eastAsia="黑体" w:cs="黑体"/>
                <w:b w:val="0"/>
                <w:bCs w:val="0"/>
                <w:spacing w:val="-6"/>
                <w:sz w:val="18"/>
                <w:szCs w:val="18"/>
                <w:lang w:val="en-US" w:eastAsia="zh-CN"/>
              </w:rPr>
              <w:t>产品名称</w:t>
            </w:r>
          </w:p>
        </w:tc>
        <w:tc>
          <w:tcPr>
            <w:tcW w:w="155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黑体" w:hAnsi="黑体" w:eastAsia="黑体" w:cs="黑体"/>
                <w:b w:val="0"/>
                <w:bCs w:val="0"/>
                <w:spacing w:val="-6"/>
                <w:sz w:val="18"/>
                <w:szCs w:val="18"/>
                <w:lang w:val="en-US" w:eastAsia="zh-CN"/>
              </w:rPr>
            </w:pPr>
            <w:r>
              <w:rPr>
                <w:rFonts w:hint="default" w:ascii="黑体" w:hAnsi="黑体" w:eastAsia="黑体" w:cs="黑体"/>
                <w:b w:val="0"/>
                <w:bCs w:val="0"/>
                <w:spacing w:val="-6"/>
                <w:sz w:val="18"/>
                <w:szCs w:val="18"/>
                <w:lang w:val="en-US" w:eastAsia="zh-CN"/>
              </w:rPr>
              <w:t>指标名称</w:t>
            </w:r>
          </w:p>
        </w:tc>
        <w:tc>
          <w:tcPr>
            <w:tcW w:w="14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黑体" w:hAnsi="黑体" w:eastAsia="黑体" w:cs="黑体"/>
                <w:b w:val="0"/>
                <w:bCs w:val="0"/>
                <w:spacing w:val="-6"/>
                <w:sz w:val="18"/>
                <w:szCs w:val="18"/>
                <w:lang w:val="en-US" w:eastAsia="zh-CN"/>
              </w:rPr>
            </w:pPr>
            <w:r>
              <w:rPr>
                <w:rFonts w:hint="default" w:ascii="黑体" w:hAnsi="黑体" w:eastAsia="黑体" w:cs="黑体"/>
                <w:b w:val="0"/>
                <w:bCs w:val="0"/>
                <w:spacing w:val="-6"/>
                <w:sz w:val="18"/>
                <w:szCs w:val="18"/>
                <w:lang w:val="en-US" w:eastAsia="zh-CN"/>
              </w:rPr>
              <w:t>指标单位</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黑体" w:hAnsi="黑体" w:eastAsia="黑体" w:cs="黑体"/>
                <w:b w:val="0"/>
                <w:bCs w:val="0"/>
                <w:spacing w:val="-6"/>
                <w:sz w:val="18"/>
                <w:szCs w:val="18"/>
                <w:lang w:val="en-US" w:eastAsia="zh-CN"/>
              </w:rPr>
            </w:pPr>
            <w:r>
              <w:rPr>
                <w:rFonts w:hint="default" w:ascii="黑体" w:hAnsi="黑体" w:eastAsia="黑体" w:cs="黑体"/>
                <w:b w:val="0"/>
                <w:bCs w:val="0"/>
                <w:spacing w:val="-6"/>
                <w:sz w:val="18"/>
                <w:szCs w:val="18"/>
                <w:lang w:val="en-US" w:eastAsia="zh-CN"/>
              </w:rPr>
              <w:t>基准水平</w:t>
            </w:r>
          </w:p>
        </w:tc>
        <w:tc>
          <w:tcPr>
            <w:tcW w:w="117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黑体" w:hAnsi="黑体" w:eastAsia="黑体" w:cs="黑体"/>
                <w:b w:val="0"/>
                <w:bCs w:val="0"/>
                <w:spacing w:val="-6"/>
                <w:sz w:val="18"/>
                <w:szCs w:val="18"/>
                <w:lang w:val="en-US" w:eastAsia="zh-CN"/>
              </w:rPr>
            </w:pPr>
            <w:r>
              <w:rPr>
                <w:rFonts w:hint="default" w:ascii="黑体" w:hAnsi="黑体" w:eastAsia="黑体" w:cs="黑体"/>
                <w:b w:val="0"/>
                <w:bCs w:val="0"/>
                <w:spacing w:val="-6"/>
                <w:sz w:val="18"/>
                <w:szCs w:val="18"/>
                <w:lang w:val="en-US" w:eastAsia="zh-CN"/>
              </w:rPr>
              <w:t>标杆水平</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黑体" w:hAnsi="黑体" w:eastAsia="黑体" w:cs="黑体"/>
                <w:b w:val="0"/>
                <w:bCs w:val="0"/>
                <w:spacing w:val="-6"/>
                <w:sz w:val="18"/>
                <w:szCs w:val="18"/>
                <w:lang w:val="en-US" w:eastAsia="zh-CN"/>
              </w:rPr>
            </w:pPr>
            <w:r>
              <w:rPr>
                <w:rFonts w:hint="default" w:ascii="黑体" w:hAnsi="黑体" w:eastAsia="黑体" w:cs="黑体"/>
                <w:b w:val="0"/>
                <w:bCs w:val="0"/>
                <w:spacing w:val="-6"/>
                <w:sz w:val="18"/>
                <w:szCs w:val="18"/>
                <w:lang w:val="en-US" w:eastAsia="zh-CN"/>
              </w:rPr>
              <w:t>计算参考标准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exact"/>
        </w:trPr>
        <w:tc>
          <w:tcPr>
            <w:tcW w:w="62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spacing w:val="-20"/>
                <w:sz w:val="18"/>
                <w:szCs w:val="18"/>
                <w:lang w:val="en-US" w:eastAsia="zh-CN"/>
              </w:rPr>
            </w:pPr>
            <w:r>
              <w:rPr>
                <w:rFonts w:hint="eastAsia" w:ascii="Times New Roman" w:hAnsi="Times New Roman" w:eastAsia="仿宋_GB2312" w:cs="Times New Roman"/>
                <w:spacing w:val="-20"/>
                <w:sz w:val="18"/>
                <w:szCs w:val="18"/>
                <w:lang w:val="en-US" w:eastAsia="zh-CN"/>
              </w:rPr>
              <w:t>1</w:t>
            </w:r>
          </w:p>
        </w:tc>
        <w:tc>
          <w:tcPr>
            <w:tcW w:w="289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r>
              <w:rPr>
                <w:rFonts w:hint="default" w:asciiTheme="minorEastAsia" w:hAnsiTheme="minorEastAsia" w:eastAsiaTheme="minorEastAsia" w:cstheme="minorEastAsia"/>
                <w:spacing w:val="-6"/>
                <w:sz w:val="18"/>
                <w:szCs w:val="18"/>
                <w:lang w:val="en-US" w:eastAsia="zh-CN"/>
              </w:rPr>
              <w:t>电解铝</w:t>
            </w:r>
          </w:p>
        </w:tc>
        <w:tc>
          <w:tcPr>
            <w:tcW w:w="155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r>
              <w:rPr>
                <w:rFonts w:hint="default" w:asciiTheme="minorEastAsia" w:hAnsiTheme="minorEastAsia" w:eastAsiaTheme="minorEastAsia" w:cstheme="minorEastAsia"/>
                <w:spacing w:val="-6"/>
                <w:sz w:val="18"/>
                <w:szCs w:val="18"/>
                <w:lang w:val="en-US" w:eastAsia="zh-CN"/>
              </w:rPr>
              <w:t>铝液交流电耗</w:t>
            </w:r>
          </w:p>
        </w:tc>
        <w:tc>
          <w:tcPr>
            <w:tcW w:w="14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r>
              <w:rPr>
                <w:rFonts w:hint="default" w:asciiTheme="minorEastAsia" w:hAnsiTheme="minorEastAsia" w:eastAsiaTheme="minorEastAsia" w:cstheme="minorEastAsia"/>
                <w:spacing w:val="-6"/>
                <w:sz w:val="18"/>
                <w:szCs w:val="18"/>
                <w:lang w:val="en-US" w:eastAsia="zh-CN"/>
              </w:rPr>
              <w:t>千瓦时/吨</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13350</w:t>
            </w:r>
          </w:p>
        </w:tc>
        <w:tc>
          <w:tcPr>
            <w:tcW w:w="117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13000</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GB 21346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8" w:hRule="exact"/>
        </w:trPr>
        <w:tc>
          <w:tcPr>
            <w:tcW w:w="62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spacing w:val="-20"/>
                <w:sz w:val="18"/>
                <w:szCs w:val="18"/>
                <w:lang w:val="en-US" w:eastAsia="zh-CN"/>
              </w:rPr>
            </w:pPr>
            <w:r>
              <w:rPr>
                <w:rFonts w:hint="eastAsia" w:ascii="Times New Roman" w:hAnsi="Times New Roman" w:eastAsia="仿宋_GB2312" w:cs="Times New Roman"/>
                <w:spacing w:val="-20"/>
                <w:sz w:val="18"/>
                <w:szCs w:val="18"/>
                <w:lang w:val="en-US" w:eastAsia="zh-CN"/>
              </w:rPr>
              <w:t>2</w:t>
            </w:r>
          </w:p>
        </w:tc>
        <w:tc>
          <w:tcPr>
            <w:tcW w:w="83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r>
              <w:rPr>
                <w:rFonts w:hint="default" w:asciiTheme="minorEastAsia" w:hAnsiTheme="minorEastAsia" w:eastAsiaTheme="minorEastAsia" w:cstheme="minorEastAsia"/>
                <w:spacing w:val="-6"/>
                <w:sz w:val="18"/>
                <w:szCs w:val="18"/>
                <w:lang w:val="en-US" w:eastAsia="zh-CN"/>
              </w:rPr>
              <w:t>铜冶炼</w:t>
            </w: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r>
              <w:rPr>
                <w:rFonts w:hint="default" w:asciiTheme="minorEastAsia" w:hAnsiTheme="minorEastAsia" w:eastAsiaTheme="minorEastAsia" w:cstheme="minorEastAsia"/>
                <w:spacing w:val="-6"/>
                <w:sz w:val="18"/>
                <w:szCs w:val="18"/>
                <w:lang w:val="en-US" w:eastAsia="zh-CN"/>
              </w:rPr>
              <w:t>铜冶炼工艺</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r>
              <w:rPr>
                <w:rFonts w:hint="default" w:asciiTheme="minorEastAsia" w:hAnsiTheme="minorEastAsia" w:eastAsiaTheme="minorEastAsia" w:cstheme="minorEastAsia"/>
                <w:spacing w:val="-6"/>
                <w:sz w:val="18"/>
                <w:szCs w:val="18"/>
                <w:lang w:val="en-US" w:eastAsia="zh-CN"/>
              </w:rPr>
              <w:t>(铜精矿- 阴极铜)</w:t>
            </w:r>
          </w:p>
        </w:tc>
        <w:tc>
          <w:tcPr>
            <w:tcW w:w="155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r>
              <w:rPr>
                <w:rFonts w:hint="default" w:asciiTheme="minorEastAsia" w:hAnsiTheme="minorEastAsia" w:eastAsiaTheme="minorEastAsia" w:cstheme="minorEastAsia"/>
                <w:spacing w:val="-6"/>
                <w:sz w:val="18"/>
                <w:szCs w:val="18"/>
                <w:lang w:val="en-US" w:eastAsia="zh-CN"/>
              </w:rPr>
              <w:t>单位产品综合能耗</w:t>
            </w:r>
          </w:p>
        </w:tc>
        <w:tc>
          <w:tcPr>
            <w:tcW w:w="14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r>
              <w:rPr>
                <w:rFonts w:hint="default" w:asciiTheme="minorEastAsia" w:hAnsiTheme="minorEastAsia" w:eastAsiaTheme="minorEastAsia" w:cstheme="minorEastAsia"/>
                <w:spacing w:val="-6"/>
                <w:sz w:val="18"/>
                <w:szCs w:val="18"/>
                <w:lang w:val="en-US" w:eastAsia="zh-CN"/>
              </w:rPr>
              <w:t>千克标准 煤/吨</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380</w:t>
            </w:r>
          </w:p>
        </w:tc>
        <w:tc>
          <w:tcPr>
            <w:tcW w:w="117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260</w:t>
            </w:r>
          </w:p>
        </w:tc>
        <w:tc>
          <w:tcPr>
            <w:tcW w:w="11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GB 21248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0" w:hRule="exact"/>
        </w:trPr>
        <w:tc>
          <w:tcPr>
            <w:tcW w:w="62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40" w:firstLineChars="100"/>
              <w:jc w:val="both"/>
              <w:textAlignment w:val="auto"/>
              <w:rPr>
                <w:rFonts w:hint="default" w:ascii="Times New Roman" w:hAnsi="Times New Roman" w:eastAsia="仿宋_GB2312" w:cs="Times New Roman"/>
                <w:spacing w:val="-20"/>
                <w:sz w:val="18"/>
                <w:szCs w:val="18"/>
                <w:lang w:val="en-US" w:eastAsia="zh-CN"/>
              </w:rPr>
            </w:pPr>
          </w:p>
        </w:tc>
        <w:tc>
          <w:tcPr>
            <w:tcW w:w="8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68" w:firstLineChars="100"/>
              <w:jc w:val="center"/>
              <w:textAlignment w:val="auto"/>
              <w:rPr>
                <w:rFonts w:hint="default" w:asciiTheme="minorEastAsia" w:hAnsiTheme="minorEastAsia" w:eastAsiaTheme="minorEastAsia" w:cstheme="minorEastAsia"/>
                <w:spacing w:val="-6"/>
                <w:sz w:val="18"/>
                <w:szCs w:val="18"/>
                <w:lang w:val="en-US" w:eastAsia="zh-CN"/>
              </w:rPr>
            </w:pP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r>
              <w:rPr>
                <w:rFonts w:hint="default" w:asciiTheme="minorEastAsia" w:hAnsiTheme="minorEastAsia" w:eastAsiaTheme="minorEastAsia" w:cstheme="minorEastAsia"/>
                <w:spacing w:val="-6"/>
                <w:sz w:val="18"/>
                <w:szCs w:val="18"/>
                <w:lang w:val="en-US" w:eastAsia="zh-CN"/>
              </w:rPr>
              <w:t>粗铜工艺</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r>
              <w:rPr>
                <w:rFonts w:hint="default" w:asciiTheme="minorEastAsia" w:hAnsiTheme="minorEastAsia" w:eastAsiaTheme="minorEastAsia" w:cstheme="minorEastAsia"/>
                <w:spacing w:val="-6"/>
                <w:sz w:val="18"/>
                <w:szCs w:val="18"/>
                <w:lang w:val="en-US" w:eastAsia="zh-CN"/>
              </w:rPr>
              <w:t>(铜精矿-粗铜)</w:t>
            </w:r>
          </w:p>
        </w:tc>
        <w:tc>
          <w:tcPr>
            <w:tcW w:w="15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p>
        </w:tc>
        <w:tc>
          <w:tcPr>
            <w:tcW w:w="14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260</w:t>
            </w:r>
          </w:p>
        </w:tc>
        <w:tc>
          <w:tcPr>
            <w:tcW w:w="117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140</w:t>
            </w:r>
          </w:p>
        </w:tc>
        <w:tc>
          <w:tcPr>
            <w:tcW w:w="11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pacing w:val="-6"/>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3" w:hRule="exact"/>
        </w:trPr>
        <w:tc>
          <w:tcPr>
            <w:tcW w:w="62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40" w:firstLineChars="100"/>
              <w:jc w:val="both"/>
              <w:textAlignment w:val="auto"/>
              <w:rPr>
                <w:rFonts w:hint="default" w:ascii="Times New Roman" w:hAnsi="Times New Roman" w:eastAsia="仿宋_GB2312" w:cs="Times New Roman"/>
                <w:spacing w:val="-20"/>
                <w:sz w:val="18"/>
                <w:szCs w:val="18"/>
                <w:lang w:val="en-US" w:eastAsia="zh-CN"/>
              </w:rPr>
            </w:pPr>
          </w:p>
        </w:tc>
        <w:tc>
          <w:tcPr>
            <w:tcW w:w="8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68" w:firstLineChars="100"/>
              <w:jc w:val="center"/>
              <w:textAlignment w:val="auto"/>
              <w:rPr>
                <w:rFonts w:hint="default" w:asciiTheme="minorEastAsia" w:hAnsiTheme="minorEastAsia" w:eastAsiaTheme="minorEastAsia" w:cstheme="minorEastAsia"/>
                <w:spacing w:val="-6"/>
                <w:sz w:val="18"/>
                <w:szCs w:val="18"/>
                <w:lang w:val="en-US" w:eastAsia="zh-CN"/>
              </w:rPr>
            </w:pP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r>
              <w:rPr>
                <w:rFonts w:hint="default" w:asciiTheme="minorEastAsia" w:hAnsiTheme="minorEastAsia" w:eastAsiaTheme="minorEastAsia" w:cstheme="minorEastAsia"/>
                <w:spacing w:val="-6"/>
                <w:sz w:val="18"/>
                <w:szCs w:val="18"/>
                <w:lang w:val="en-US" w:eastAsia="zh-CN"/>
              </w:rPr>
              <w:t>阳极铜工艺</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r>
              <w:rPr>
                <w:rFonts w:hint="default" w:asciiTheme="minorEastAsia" w:hAnsiTheme="minorEastAsia" w:eastAsiaTheme="minorEastAsia" w:cstheme="minorEastAsia"/>
                <w:spacing w:val="-6"/>
                <w:sz w:val="18"/>
                <w:szCs w:val="18"/>
                <w:lang w:val="en-US" w:eastAsia="zh-CN"/>
              </w:rPr>
              <w:t>(铜精矿- 阳极铜)</w:t>
            </w:r>
          </w:p>
        </w:tc>
        <w:tc>
          <w:tcPr>
            <w:tcW w:w="15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p>
        </w:tc>
        <w:tc>
          <w:tcPr>
            <w:tcW w:w="14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290</w:t>
            </w:r>
          </w:p>
        </w:tc>
        <w:tc>
          <w:tcPr>
            <w:tcW w:w="117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180</w:t>
            </w:r>
          </w:p>
        </w:tc>
        <w:tc>
          <w:tcPr>
            <w:tcW w:w="11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pacing w:val="-6"/>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3" w:hRule="exact"/>
        </w:trPr>
        <w:tc>
          <w:tcPr>
            <w:tcW w:w="62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40" w:firstLineChars="100"/>
              <w:jc w:val="both"/>
              <w:textAlignment w:val="auto"/>
              <w:rPr>
                <w:rFonts w:hint="default" w:ascii="Times New Roman" w:hAnsi="Times New Roman" w:eastAsia="仿宋_GB2312" w:cs="Times New Roman"/>
                <w:spacing w:val="-20"/>
                <w:sz w:val="18"/>
                <w:szCs w:val="18"/>
                <w:lang w:val="en-US" w:eastAsia="zh-CN"/>
              </w:rPr>
            </w:pPr>
          </w:p>
        </w:tc>
        <w:tc>
          <w:tcPr>
            <w:tcW w:w="8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68" w:firstLineChars="100"/>
              <w:jc w:val="center"/>
              <w:textAlignment w:val="auto"/>
              <w:rPr>
                <w:rFonts w:hint="default" w:asciiTheme="minorEastAsia" w:hAnsiTheme="minorEastAsia" w:eastAsiaTheme="minorEastAsia" w:cstheme="minorEastAsia"/>
                <w:spacing w:val="-6"/>
                <w:sz w:val="18"/>
                <w:szCs w:val="18"/>
                <w:lang w:val="en-US" w:eastAsia="zh-CN"/>
              </w:rPr>
            </w:pP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r>
              <w:rPr>
                <w:rFonts w:hint="default" w:asciiTheme="minorEastAsia" w:hAnsiTheme="minorEastAsia" w:eastAsiaTheme="minorEastAsia" w:cstheme="minorEastAsia"/>
                <w:spacing w:val="-6"/>
                <w:sz w:val="18"/>
                <w:szCs w:val="18"/>
                <w:lang w:val="en-US" w:eastAsia="zh-CN"/>
              </w:rPr>
              <w:t>电解工序</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r>
              <w:rPr>
                <w:rFonts w:hint="default" w:asciiTheme="minorEastAsia" w:hAnsiTheme="minorEastAsia" w:eastAsiaTheme="minorEastAsia" w:cstheme="minorEastAsia"/>
                <w:spacing w:val="-6"/>
                <w:sz w:val="18"/>
                <w:szCs w:val="18"/>
                <w:lang w:val="en-US" w:eastAsia="zh-CN"/>
              </w:rPr>
              <w:t>( 阳极铜- 阴极铜)</w:t>
            </w:r>
          </w:p>
        </w:tc>
        <w:tc>
          <w:tcPr>
            <w:tcW w:w="15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p>
        </w:tc>
        <w:tc>
          <w:tcPr>
            <w:tcW w:w="14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110</w:t>
            </w:r>
          </w:p>
        </w:tc>
        <w:tc>
          <w:tcPr>
            <w:tcW w:w="117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85</w:t>
            </w:r>
          </w:p>
        </w:tc>
        <w:tc>
          <w:tcPr>
            <w:tcW w:w="11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pacing w:val="-6"/>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exact"/>
        </w:trPr>
        <w:tc>
          <w:tcPr>
            <w:tcW w:w="62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spacing w:val="-20"/>
                <w:sz w:val="18"/>
                <w:szCs w:val="18"/>
                <w:lang w:val="en-US" w:eastAsia="zh-CN"/>
              </w:rPr>
            </w:pPr>
            <w:r>
              <w:rPr>
                <w:rFonts w:hint="eastAsia" w:ascii="Times New Roman" w:hAnsi="Times New Roman" w:eastAsia="仿宋_GB2312" w:cs="Times New Roman"/>
                <w:spacing w:val="-20"/>
                <w:sz w:val="18"/>
                <w:szCs w:val="18"/>
                <w:lang w:val="en-US" w:eastAsia="zh-CN"/>
              </w:rPr>
              <w:t>3</w:t>
            </w:r>
          </w:p>
        </w:tc>
        <w:tc>
          <w:tcPr>
            <w:tcW w:w="830"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260" w:lineRule="exact"/>
              <w:ind w:firstLine="168" w:firstLineChars="100"/>
              <w:jc w:val="center"/>
              <w:textAlignment w:val="auto"/>
              <w:rPr>
                <w:rFonts w:hint="default" w:asciiTheme="minorEastAsia" w:hAnsiTheme="minorEastAsia" w:eastAsiaTheme="minorEastAsia" w:cstheme="minorEastAsia"/>
                <w:spacing w:val="-6"/>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60" w:lineRule="exact"/>
              <w:ind w:firstLine="168" w:firstLineChars="100"/>
              <w:jc w:val="center"/>
              <w:textAlignment w:val="auto"/>
              <w:rPr>
                <w:rFonts w:hint="default" w:asciiTheme="minorEastAsia" w:hAnsiTheme="minorEastAsia" w:eastAsiaTheme="minorEastAsia" w:cstheme="minorEastAsia"/>
                <w:spacing w:val="-6"/>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r>
              <w:rPr>
                <w:rFonts w:hint="default" w:asciiTheme="minorEastAsia" w:hAnsiTheme="minorEastAsia" w:eastAsiaTheme="minorEastAsia" w:cstheme="minorEastAsia"/>
                <w:spacing w:val="-6"/>
                <w:sz w:val="18"/>
                <w:szCs w:val="18"/>
                <w:lang w:val="en-US" w:eastAsia="zh-CN"/>
              </w:rPr>
              <w:t>铅冶炼</w:t>
            </w: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r>
              <w:rPr>
                <w:rFonts w:hint="default" w:asciiTheme="minorEastAsia" w:hAnsiTheme="minorEastAsia" w:eastAsiaTheme="minorEastAsia" w:cstheme="minorEastAsia"/>
                <w:spacing w:val="-6"/>
                <w:sz w:val="18"/>
                <w:szCs w:val="18"/>
                <w:lang w:val="en-US" w:eastAsia="zh-CN"/>
              </w:rPr>
              <w:t>粗铅工艺</w:t>
            </w:r>
          </w:p>
        </w:tc>
        <w:tc>
          <w:tcPr>
            <w:tcW w:w="155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r>
              <w:rPr>
                <w:rFonts w:hint="default" w:asciiTheme="minorEastAsia" w:hAnsiTheme="minorEastAsia" w:eastAsiaTheme="minorEastAsia" w:cstheme="minorEastAsia"/>
                <w:spacing w:val="-6"/>
                <w:sz w:val="18"/>
                <w:szCs w:val="18"/>
                <w:lang w:val="en-US" w:eastAsia="zh-CN"/>
              </w:rPr>
              <w:t>单位产品综合能耗</w:t>
            </w:r>
          </w:p>
        </w:tc>
        <w:tc>
          <w:tcPr>
            <w:tcW w:w="14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r>
              <w:rPr>
                <w:rFonts w:hint="default" w:asciiTheme="minorEastAsia" w:hAnsiTheme="minorEastAsia" w:eastAsiaTheme="minorEastAsia" w:cstheme="minorEastAsia"/>
                <w:spacing w:val="-6"/>
                <w:sz w:val="18"/>
                <w:szCs w:val="18"/>
                <w:lang w:val="en-US" w:eastAsia="zh-CN"/>
              </w:rPr>
              <w:t>千克标准 煤/吨</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300</w:t>
            </w:r>
          </w:p>
        </w:tc>
        <w:tc>
          <w:tcPr>
            <w:tcW w:w="117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230</w:t>
            </w:r>
          </w:p>
        </w:tc>
        <w:tc>
          <w:tcPr>
            <w:tcW w:w="11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GB 21250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exact"/>
        </w:trPr>
        <w:tc>
          <w:tcPr>
            <w:tcW w:w="62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40" w:firstLineChars="100"/>
              <w:jc w:val="both"/>
              <w:textAlignment w:val="auto"/>
              <w:rPr>
                <w:rFonts w:hint="default" w:ascii="Times New Roman" w:hAnsi="Times New Roman" w:eastAsia="仿宋_GB2312" w:cs="Times New Roman"/>
                <w:spacing w:val="-20"/>
                <w:sz w:val="18"/>
                <w:szCs w:val="18"/>
                <w:lang w:val="en-US" w:eastAsia="zh-CN"/>
              </w:rPr>
            </w:pPr>
          </w:p>
        </w:tc>
        <w:tc>
          <w:tcPr>
            <w:tcW w:w="83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60" w:lineRule="exact"/>
              <w:ind w:firstLine="168" w:firstLineChars="100"/>
              <w:jc w:val="center"/>
              <w:textAlignment w:val="auto"/>
              <w:rPr>
                <w:rFonts w:hint="default" w:asciiTheme="minorEastAsia" w:hAnsiTheme="minorEastAsia" w:eastAsiaTheme="minorEastAsia" w:cstheme="minorEastAsia"/>
                <w:spacing w:val="-6"/>
                <w:sz w:val="18"/>
                <w:szCs w:val="18"/>
                <w:lang w:val="en-US" w:eastAsia="zh-CN"/>
              </w:rPr>
            </w:pP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r>
              <w:rPr>
                <w:rFonts w:hint="default" w:asciiTheme="minorEastAsia" w:hAnsiTheme="minorEastAsia" w:eastAsiaTheme="minorEastAsia" w:cstheme="minorEastAsia"/>
                <w:spacing w:val="-6"/>
                <w:sz w:val="18"/>
                <w:szCs w:val="18"/>
                <w:lang w:val="en-US" w:eastAsia="zh-CN"/>
              </w:rPr>
              <w:t>铅电解精炼工序</w:t>
            </w:r>
          </w:p>
        </w:tc>
        <w:tc>
          <w:tcPr>
            <w:tcW w:w="1557"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p>
        </w:tc>
        <w:tc>
          <w:tcPr>
            <w:tcW w:w="146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120</w:t>
            </w:r>
          </w:p>
        </w:tc>
        <w:tc>
          <w:tcPr>
            <w:tcW w:w="117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100</w:t>
            </w:r>
          </w:p>
        </w:tc>
        <w:tc>
          <w:tcPr>
            <w:tcW w:w="11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pacing w:val="-6"/>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exact"/>
        </w:trPr>
        <w:tc>
          <w:tcPr>
            <w:tcW w:w="62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40" w:firstLineChars="100"/>
              <w:jc w:val="both"/>
              <w:textAlignment w:val="auto"/>
              <w:rPr>
                <w:rFonts w:hint="default" w:ascii="Times New Roman" w:hAnsi="Times New Roman" w:eastAsia="仿宋_GB2312" w:cs="Times New Roman"/>
                <w:spacing w:val="-20"/>
                <w:sz w:val="18"/>
                <w:szCs w:val="18"/>
                <w:lang w:val="en-US" w:eastAsia="zh-CN"/>
              </w:rPr>
            </w:pPr>
          </w:p>
        </w:tc>
        <w:tc>
          <w:tcPr>
            <w:tcW w:w="83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60" w:lineRule="exact"/>
              <w:ind w:firstLine="168" w:firstLineChars="100"/>
              <w:jc w:val="center"/>
              <w:textAlignment w:val="auto"/>
              <w:rPr>
                <w:rFonts w:hint="default" w:asciiTheme="minorEastAsia" w:hAnsiTheme="minorEastAsia" w:eastAsiaTheme="minorEastAsia" w:cstheme="minorEastAsia"/>
                <w:spacing w:val="-6"/>
                <w:sz w:val="18"/>
                <w:szCs w:val="18"/>
                <w:lang w:val="en-US" w:eastAsia="zh-CN"/>
              </w:rPr>
            </w:pP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r>
              <w:rPr>
                <w:rFonts w:hint="default" w:asciiTheme="minorEastAsia" w:hAnsiTheme="minorEastAsia" w:eastAsiaTheme="minorEastAsia" w:cstheme="minorEastAsia"/>
                <w:spacing w:val="-6"/>
                <w:sz w:val="18"/>
                <w:szCs w:val="18"/>
                <w:lang w:val="en-US" w:eastAsia="zh-CN"/>
              </w:rPr>
              <w:t>铅冶炼工艺</w:t>
            </w:r>
          </w:p>
        </w:tc>
        <w:tc>
          <w:tcPr>
            <w:tcW w:w="1557"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p>
        </w:tc>
        <w:tc>
          <w:tcPr>
            <w:tcW w:w="146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420</w:t>
            </w:r>
          </w:p>
        </w:tc>
        <w:tc>
          <w:tcPr>
            <w:tcW w:w="117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330</w:t>
            </w:r>
          </w:p>
        </w:tc>
        <w:tc>
          <w:tcPr>
            <w:tcW w:w="11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pacing w:val="-6"/>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26" w:hRule="exact"/>
        </w:trPr>
        <w:tc>
          <w:tcPr>
            <w:tcW w:w="62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spacing w:val="-20"/>
                <w:sz w:val="18"/>
                <w:szCs w:val="18"/>
                <w:lang w:val="en-US" w:eastAsia="zh-CN"/>
              </w:rPr>
            </w:pPr>
            <w:r>
              <w:rPr>
                <w:rFonts w:hint="eastAsia" w:ascii="Times New Roman" w:hAnsi="Times New Roman" w:eastAsia="仿宋_GB2312" w:cs="Times New Roman"/>
                <w:spacing w:val="-20"/>
                <w:sz w:val="18"/>
                <w:szCs w:val="18"/>
                <w:lang w:val="en-US" w:eastAsia="zh-CN"/>
              </w:rPr>
              <w:t>4</w:t>
            </w:r>
          </w:p>
        </w:tc>
        <w:tc>
          <w:tcPr>
            <w:tcW w:w="83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68" w:firstLineChars="100"/>
              <w:jc w:val="center"/>
              <w:textAlignment w:val="auto"/>
              <w:rPr>
                <w:rFonts w:hint="default" w:asciiTheme="minorEastAsia" w:hAnsiTheme="minorEastAsia" w:eastAsiaTheme="minorEastAsia" w:cstheme="minorEastAsia"/>
                <w:spacing w:val="-6"/>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r>
              <w:rPr>
                <w:rFonts w:hint="default" w:asciiTheme="minorEastAsia" w:hAnsiTheme="minorEastAsia" w:eastAsiaTheme="minorEastAsia" w:cstheme="minorEastAsia"/>
                <w:spacing w:val="-6"/>
                <w:sz w:val="18"/>
                <w:szCs w:val="18"/>
                <w:lang w:val="en-US" w:eastAsia="zh-CN"/>
              </w:rPr>
              <w:t>锌冶炼</w:t>
            </w: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r>
              <w:rPr>
                <w:rFonts w:hint="default" w:asciiTheme="minorEastAsia" w:hAnsiTheme="minorEastAsia" w:eastAsiaTheme="minorEastAsia" w:cstheme="minorEastAsia"/>
                <w:spacing w:val="-6"/>
                <w:sz w:val="18"/>
                <w:szCs w:val="18"/>
                <w:lang w:val="en-US" w:eastAsia="zh-CN"/>
              </w:rPr>
              <w:t>火法炼锌工艺：</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r>
              <w:rPr>
                <w:rFonts w:hint="default" w:asciiTheme="minorEastAsia" w:hAnsiTheme="minorEastAsia" w:eastAsiaTheme="minorEastAsia" w:cstheme="minorEastAsia"/>
                <w:spacing w:val="-6"/>
                <w:sz w:val="18"/>
                <w:szCs w:val="18"/>
                <w:lang w:val="en-US" w:eastAsia="zh-CN"/>
              </w:rPr>
              <w:t>粗锌(精矿-粗锌)</w:t>
            </w:r>
          </w:p>
        </w:tc>
        <w:tc>
          <w:tcPr>
            <w:tcW w:w="155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r>
              <w:rPr>
                <w:rFonts w:hint="default" w:asciiTheme="minorEastAsia" w:hAnsiTheme="minorEastAsia" w:eastAsiaTheme="minorEastAsia" w:cstheme="minorEastAsia"/>
                <w:spacing w:val="-6"/>
                <w:sz w:val="18"/>
                <w:szCs w:val="18"/>
                <w:lang w:val="en-US" w:eastAsia="zh-CN"/>
              </w:rPr>
              <w:t>单位产品综合能耗</w:t>
            </w:r>
          </w:p>
        </w:tc>
        <w:tc>
          <w:tcPr>
            <w:tcW w:w="14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r>
              <w:rPr>
                <w:rFonts w:hint="default" w:asciiTheme="minorEastAsia" w:hAnsiTheme="minorEastAsia" w:eastAsiaTheme="minorEastAsia" w:cstheme="minorEastAsia"/>
                <w:spacing w:val="-6"/>
                <w:sz w:val="18"/>
                <w:szCs w:val="18"/>
                <w:lang w:val="en-US" w:eastAsia="zh-CN"/>
              </w:rPr>
              <w:t>千克标准 煤/吨</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1620</w:t>
            </w:r>
          </w:p>
        </w:tc>
        <w:tc>
          <w:tcPr>
            <w:tcW w:w="117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1450</w:t>
            </w:r>
          </w:p>
        </w:tc>
        <w:tc>
          <w:tcPr>
            <w:tcW w:w="11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GB 21249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6" w:hRule="exact"/>
        </w:trPr>
        <w:tc>
          <w:tcPr>
            <w:tcW w:w="62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40" w:firstLineChars="100"/>
              <w:jc w:val="both"/>
              <w:textAlignment w:val="auto"/>
              <w:rPr>
                <w:rFonts w:hint="default" w:ascii="Times New Roman" w:hAnsi="Times New Roman" w:eastAsia="仿宋_GB2312" w:cs="Times New Roman"/>
                <w:spacing w:val="-20"/>
                <w:sz w:val="18"/>
                <w:szCs w:val="18"/>
                <w:lang w:val="en-US" w:eastAsia="zh-CN"/>
              </w:rPr>
            </w:pPr>
          </w:p>
        </w:tc>
        <w:tc>
          <w:tcPr>
            <w:tcW w:w="8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default" w:ascii="Times New Roman" w:hAnsi="Times New Roman" w:eastAsia="仿宋_GB2312" w:cs="Times New Roman"/>
                <w:spacing w:val="-20"/>
                <w:sz w:val="18"/>
                <w:szCs w:val="18"/>
                <w:lang w:val="en-US" w:eastAsia="zh-CN"/>
              </w:rPr>
            </w:pP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r>
              <w:rPr>
                <w:rFonts w:hint="default" w:asciiTheme="minorEastAsia" w:hAnsiTheme="minorEastAsia" w:eastAsiaTheme="minorEastAsia" w:cstheme="minorEastAsia"/>
                <w:spacing w:val="-6"/>
                <w:sz w:val="18"/>
                <w:szCs w:val="18"/>
                <w:lang w:val="en-US" w:eastAsia="zh-CN"/>
              </w:rPr>
              <w:t>火法炼锌工艺：</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r>
              <w:rPr>
                <w:rFonts w:hint="default" w:asciiTheme="minorEastAsia" w:hAnsiTheme="minorEastAsia" w:eastAsiaTheme="minorEastAsia" w:cstheme="minorEastAsia"/>
                <w:spacing w:val="-6"/>
                <w:sz w:val="18"/>
                <w:szCs w:val="18"/>
                <w:lang w:val="en-US" w:eastAsia="zh-CN"/>
              </w:rPr>
              <w:t>锌(精矿-精馏锌)</w:t>
            </w:r>
          </w:p>
        </w:tc>
        <w:tc>
          <w:tcPr>
            <w:tcW w:w="15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default" w:ascii="Times New Roman" w:hAnsi="Times New Roman" w:eastAsia="仿宋_GB2312" w:cs="Times New Roman"/>
                <w:spacing w:val="-20"/>
                <w:sz w:val="18"/>
                <w:szCs w:val="18"/>
                <w:lang w:val="en-US" w:eastAsia="zh-CN"/>
              </w:rPr>
            </w:pPr>
          </w:p>
        </w:tc>
        <w:tc>
          <w:tcPr>
            <w:tcW w:w="14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default" w:ascii="Times New Roman" w:hAnsi="Times New Roman" w:eastAsia="仿宋_GB2312" w:cs="Times New Roman"/>
                <w:spacing w:val="-20"/>
                <w:sz w:val="18"/>
                <w:szCs w:val="18"/>
                <w:lang w:val="en-US" w:eastAsia="zh-CN"/>
              </w:rPr>
            </w:pP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2020</w:t>
            </w:r>
          </w:p>
        </w:tc>
        <w:tc>
          <w:tcPr>
            <w:tcW w:w="117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1800</w:t>
            </w:r>
          </w:p>
        </w:tc>
        <w:tc>
          <w:tcPr>
            <w:tcW w:w="11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40" w:firstLineChars="100"/>
              <w:jc w:val="both"/>
              <w:textAlignment w:val="auto"/>
              <w:rPr>
                <w:rFonts w:hint="default" w:ascii="Times New Roman" w:hAnsi="Times New Roman" w:eastAsia="仿宋_GB2312" w:cs="Times New Roman"/>
                <w:spacing w:val="-2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61" w:hRule="exact"/>
        </w:trPr>
        <w:tc>
          <w:tcPr>
            <w:tcW w:w="62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40" w:firstLineChars="100"/>
              <w:jc w:val="both"/>
              <w:textAlignment w:val="auto"/>
              <w:rPr>
                <w:rFonts w:hint="default" w:ascii="Times New Roman" w:hAnsi="Times New Roman" w:eastAsia="仿宋_GB2312" w:cs="Times New Roman"/>
                <w:spacing w:val="-20"/>
                <w:sz w:val="18"/>
                <w:szCs w:val="18"/>
                <w:lang w:val="en-US" w:eastAsia="zh-CN"/>
              </w:rPr>
            </w:pPr>
          </w:p>
        </w:tc>
        <w:tc>
          <w:tcPr>
            <w:tcW w:w="8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default" w:ascii="Times New Roman" w:hAnsi="Times New Roman" w:eastAsia="仿宋_GB2312" w:cs="Times New Roman"/>
                <w:spacing w:val="-20"/>
                <w:sz w:val="18"/>
                <w:szCs w:val="18"/>
                <w:lang w:val="en-US" w:eastAsia="zh-CN"/>
              </w:rPr>
            </w:pP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r>
              <w:rPr>
                <w:rFonts w:hint="default" w:asciiTheme="minorEastAsia" w:hAnsiTheme="minorEastAsia" w:eastAsiaTheme="minorEastAsia" w:cstheme="minorEastAsia"/>
                <w:spacing w:val="-6"/>
                <w:sz w:val="18"/>
                <w:szCs w:val="18"/>
                <w:lang w:val="en-US" w:eastAsia="zh-CN"/>
              </w:rPr>
              <w:t>湿法炼锌工艺：</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r>
              <w:rPr>
                <w:rFonts w:hint="default" w:asciiTheme="minorEastAsia" w:hAnsiTheme="minorEastAsia" w:eastAsiaTheme="minorEastAsia" w:cstheme="minorEastAsia"/>
                <w:spacing w:val="-6"/>
                <w:sz w:val="18"/>
                <w:szCs w:val="18"/>
                <w:lang w:val="en-US" w:eastAsia="zh-CN"/>
              </w:rPr>
              <w:t>电锌锌锭(有浸出渣火法处理工艺)  (精矿- 电锌锌锭)</w:t>
            </w:r>
          </w:p>
        </w:tc>
        <w:tc>
          <w:tcPr>
            <w:tcW w:w="15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default" w:ascii="Times New Roman" w:hAnsi="Times New Roman" w:eastAsia="仿宋_GB2312" w:cs="Times New Roman"/>
                <w:spacing w:val="-20"/>
                <w:sz w:val="18"/>
                <w:szCs w:val="18"/>
                <w:lang w:val="en-US" w:eastAsia="zh-CN"/>
              </w:rPr>
            </w:pPr>
          </w:p>
        </w:tc>
        <w:tc>
          <w:tcPr>
            <w:tcW w:w="14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default" w:ascii="Times New Roman" w:hAnsi="Times New Roman" w:eastAsia="仿宋_GB2312" w:cs="Times New Roman"/>
                <w:spacing w:val="-20"/>
                <w:sz w:val="18"/>
                <w:szCs w:val="18"/>
                <w:lang w:val="en-US" w:eastAsia="zh-CN"/>
              </w:rPr>
            </w:pP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pacing w:val="-6"/>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1280</w:t>
            </w:r>
          </w:p>
        </w:tc>
        <w:tc>
          <w:tcPr>
            <w:tcW w:w="117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pacing w:val="-6"/>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1100</w:t>
            </w:r>
          </w:p>
        </w:tc>
        <w:tc>
          <w:tcPr>
            <w:tcW w:w="11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40" w:firstLineChars="100"/>
              <w:jc w:val="both"/>
              <w:textAlignment w:val="auto"/>
              <w:rPr>
                <w:rFonts w:hint="default" w:ascii="Times New Roman" w:hAnsi="Times New Roman" w:eastAsia="仿宋_GB2312" w:cs="Times New Roman"/>
                <w:spacing w:val="-2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0" w:hRule="exact"/>
        </w:trPr>
        <w:tc>
          <w:tcPr>
            <w:tcW w:w="62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40" w:firstLineChars="100"/>
              <w:jc w:val="both"/>
              <w:textAlignment w:val="auto"/>
              <w:rPr>
                <w:rFonts w:hint="default" w:ascii="Times New Roman" w:hAnsi="Times New Roman" w:eastAsia="仿宋_GB2312" w:cs="Times New Roman"/>
                <w:spacing w:val="-20"/>
                <w:sz w:val="18"/>
                <w:szCs w:val="18"/>
                <w:lang w:val="en-US" w:eastAsia="zh-CN"/>
              </w:rPr>
            </w:pPr>
          </w:p>
        </w:tc>
        <w:tc>
          <w:tcPr>
            <w:tcW w:w="8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default" w:ascii="Times New Roman" w:hAnsi="Times New Roman" w:eastAsia="仿宋_GB2312" w:cs="Times New Roman"/>
                <w:spacing w:val="-20"/>
                <w:sz w:val="18"/>
                <w:szCs w:val="18"/>
                <w:lang w:val="en-US" w:eastAsia="zh-CN"/>
              </w:rPr>
            </w:pP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r>
              <w:rPr>
                <w:rFonts w:hint="default" w:asciiTheme="minorEastAsia" w:hAnsiTheme="minorEastAsia" w:eastAsiaTheme="minorEastAsia" w:cstheme="minorEastAsia"/>
                <w:spacing w:val="-6"/>
                <w:sz w:val="18"/>
                <w:szCs w:val="18"/>
                <w:lang w:val="en-US" w:eastAsia="zh-CN"/>
              </w:rPr>
              <w:t>湿法炼锌工艺：</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r>
              <w:rPr>
                <w:rFonts w:hint="default" w:asciiTheme="minorEastAsia" w:hAnsiTheme="minorEastAsia" w:eastAsiaTheme="minorEastAsia" w:cstheme="minorEastAsia"/>
                <w:spacing w:val="-6"/>
                <w:sz w:val="18"/>
                <w:szCs w:val="18"/>
                <w:lang w:val="en-US" w:eastAsia="zh-CN"/>
              </w:rPr>
              <w:t>电锌锌锭(无浸出渣火法处理工艺) (精矿- 电锌锌锭)</w:t>
            </w:r>
          </w:p>
        </w:tc>
        <w:tc>
          <w:tcPr>
            <w:tcW w:w="15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default" w:ascii="Times New Roman" w:hAnsi="Times New Roman" w:eastAsia="仿宋_GB2312" w:cs="Times New Roman"/>
                <w:spacing w:val="-20"/>
                <w:sz w:val="18"/>
                <w:szCs w:val="18"/>
                <w:lang w:val="en-US" w:eastAsia="zh-CN"/>
              </w:rPr>
            </w:pPr>
          </w:p>
        </w:tc>
        <w:tc>
          <w:tcPr>
            <w:tcW w:w="14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default" w:ascii="Times New Roman" w:hAnsi="Times New Roman" w:eastAsia="仿宋_GB2312" w:cs="Times New Roman"/>
                <w:spacing w:val="-20"/>
                <w:sz w:val="18"/>
                <w:szCs w:val="18"/>
                <w:lang w:val="en-US" w:eastAsia="zh-CN"/>
              </w:rPr>
            </w:pP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pacing w:val="-6"/>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950</w:t>
            </w:r>
          </w:p>
        </w:tc>
        <w:tc>
          <w:tcPr>
            <w:tcW w:w="117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pacing w:val="-6"/>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800</w:t>
            </w:r>
          </w:p>
        </w:tc>
        <w:tc>
          <w:tcPr>
            <w:tcW w:w="11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40" w:firstLineChars="100"/>
              <w:jc w:val="both"/>
              <w:textAlignment w:val="auto"/>
              <w:rPr>
                <w:rFonts w:hint="default" w:ascii="Times New Roman" w:hAnsi="Times New Roman" w:eastAsia="仿宋_GB2312" w:cs="Times New Roman"/>
                <w:spacing w:val="-2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70" w:hRule="exact"/>
        </w:trPr>
        <w:tc>
          <w:tcPr>
            <w:tcW w:w="62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40" w:firstLineChars="100"/>
              <w:jc w:val="both"/>
              <w:textAlignment w:val="auto"/>
              <w:rPr>
                <w:rFonts w:hint="default" w:ascii="Times New Roman" w:hAnsi="Times New Roman" w:eastAsia="仿宋_GB2312" w:cs="Times New Roman"/>
                <w:spacing w:val="-20"/>
                <w:sz w:val="18"/>
                <w:szCs w:val="18"/>
                <w:lang w:val="en-US" w:eastAsia="zh-CN"/>
              </w:rPr>
            </w:pPr>
          </w:p>
        </w:tc>
        <w:tc>
          <w:tcPr>
            <w:tcW w:w="8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default" w:ascii="Times New Roman" w:hAnsi="Times New Roman" w:eastAsia="仿宋_GB2312" w:cs="Times New Roman"/>
                <w:spacing w:val="-20"/>
                <w:sz w:val="18"/>
                <w:szCs w:val="18"/>
                <w:lang w:val="en-US" w:eastAsia="zh-CN"/>
              </w:rPr>
            </w:pP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r>
              <w:rPr>
                <w:rFonts w:hint="default" w:asciiTheme="minorEastAsia" w:hAnsiTheme="minorEastAsia" w:eastAsiaTheme="minorEastAsia" w:cstheme="minorEastAsia"/>
                <w:spacing w:val="-6"/>
                <w:sz w:val="18"/>
                <w:szCs w:val="18"/>
                <w:lang w:val="en-US" w:eastAsia="zh-CN"/>
              </w:rPr>
              <w:t>湿法炼锌工艺：电锌锌锭 (氧化锌精矿- 电锌锌锭)</w:t>
            </w:r>
          </w:p>
        </w:tc>
        <w:tc>
          <w:tcPr>
            <w:tcW w:w="15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default" w:ascii="Times New Roman" w:hAnsi="Times New Roman" w:eastAsia="仿宋_GB2312" w:cs="Times New Roman"/>
                <w:spacing w:val="-20"/>
                <w:sz w:val="18"/>
                <w:szCs w:val="18"/>
                <w:lang w:val="en-US" w:eastAsia="zh-CN"/>
              </w:rPr>
            </w:pPr>
          </w:p>
        </w:tc>
        <w:tc>
          <w:tcPr>
            <w:tcW w:w="14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default" w:ascii="Times New Roman" w:hAnsi="Times New Roman" w:eastAsia="仿宋_GB2312" w:cs="Times New Roman"/>
                <w:spacing w:val="-20"/>
                <w:sz w:val="18"/>
                <w:szCs w:val="18"/>
                <w:lang w:val="en-US" w:eastAsia="zh-CN"/>
              </w:rPr>
            </w:pP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950</w:t>
            </w:r>
          </w:p>
        </w:tc>
        <w:tc>
          <w:tcPr>
            <w:tcW w:w="117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800</w:t>
            </w:r>
          </w:p>
        </w:tc>
        <w:tc>
          <w:tcPr>
            <w:tcW w:w="11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40" w:firstLineChars="100"/>
              <w:jc w:val="both"/>
              <w:textAlignment w:val="auto"/>
              <w:rPr>
                <w:rFonts w:hint="default" w:ascii="Times New Roman" w:hAnsi="Times New Roman" w:eastAsia="仿宋_GB2312" w:cs="Times New Roman"/>
                <w:spacing w:val="-20"/>
                <w:sz w:val="18"/>
                <w:szCs w:val="18"/>
                <w:lang w:val="en-US" w:eastAsia="zh-CN"/>
              </w:rPr>
            </w:pPr>
          </w:p>
        </w:tc>
      </w:tr>
    </w:tbl>
    <w:p/>
    <w:p>
      <w:pPr>
        <w:pStyle w:val="2"/>
        <w:rPr>
          <w:rFonts w:hint="default" w:ascii="Times New Roman" w:hAnsi="Times New Roman" w:eastAsia="仿宋_GB2312" w:cs="Times New Roman"/>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p>
    <w:p>
      <w:pPr>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widowControl w:val="0"/>
        <w:wordWrap/>
        <w:adjustRightInd/>
        <w:snapToGrid/>
        <w:spacing w:line="640" w:lineRule="exact"/>
        <w:ind w:right="0"/>
        <w:jc w:val="center"/>
        <w:textAlignment w:val="auto"/>
        <w:outlineLvl w:val="9"/>
        <w:rPr>
          <w:rFonts w:hint="default" w:ascii="方正小标宋简体" w:hAnsi="方正小标宋简体" w:eastAsia="方正小标宋简体" w:cs="方正小标宋简体"/>
          <w:color w:val="auto"/>
          <w:kern w:val="0"/>
          <w:sz w:val="32"/>
          <w:szCs w:val="32"/>
          <w:lang w:val="en-US" w:eastAsia="zh-CN"/>
        </w:rPr>
      </w:pPr>
      <w:r>
        <w:rPr>
          <w:rFonts w:hint="default" w:ascii="方正小标宋简体" w:hAnsi="方正小标宋简体" w:eastAsia="方正小标宋简体" w:cs="方正小标宋简体"/>
          <w:color w:val="auto"/>
          <w:kern w:val="0"/>
          <w:sz w:val="32"/>
          <w:szCs w:val="32"/>
          <w:lang w:val="en-US" w:eastAsia="zh-CN"/>
        </w:rPr>
        <w:t>青海省有色金属冶炼行业能效水平清单</w:t>
      </w:r>
    </w:p>
    <w:tbl>
      <w:tblPr>
        <w:tblStyle w:val="8"/>
        <w:tblW w:w="15934" w:type="dxa"/>
        <w:tblInd w:w="-70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0"/>
        <w:gridCol w:w="843"/>
        <w:gridCol w:w="1350"/>
        <w:gridCol w:w="1581"/>
        <w:gridCol w:w="1003"/>
        <w:gridCol w:w="1073"/>
        <w:gridCol w:w="1143"/>
        <w:gridCol w:w="1869"/>
        <w:gridCol w:w="958"/>
        <w:gridCol w:w="934"/>
        <w:gridCol w:w="1212"/>
        <w:gridCol w:w="1038"/>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序号</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地区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企业名称</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设备类型</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主要产品</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设计产能</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（万吨）</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实际产量</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（万吨）</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指标名称及单位</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基准</w:t>
            </w:r>
          </w:p>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水平</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标杆</w:t>
            </w:r>
          </w:p>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水平</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企业现有能效水平</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color w:val="000000"/>
                <w:sz w:val="20"/>
                <w:szCs w:val="20"/>
                <w:u w:val="no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西宁市</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17"/>
                <w:kern w:val="0"/>
                <w:sz w:val="20"/>
                <w:szCs w:val="20"/>
                <w:u w:val="none"/>
                <w:lang w:val="en-US" w:eastAsia="zh-CN" w:bidi="ar"/>
              </w:rPr>
              <w:t>中国铝业青海分公司</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5"/>
                <w:lang w:val="en-US" w:eastAsia="zh-CN" w:bidi="ar"/>
              </w:rPr>
              <w:t>180KA</w:t>
            </w:r>
            <w:r>
              <w:rPr>
                <w:rStyle w:val="16"/>
                <w:lang w:val="en-US" w:eastAsia="zh-CN" w:bidi="ar"/>
              </w:rPr>
              <w:t>×520台,200KA×282台电解槽</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电解铝</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 </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40.39</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铝液电解交流电耗(kwh/t)</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13350</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13000</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13092.81</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基准水平</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西宁市</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青海百河铝业有限公司</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5"/>
                <w:lang w:val="en-US" w:eastAsia="zh-CN" w:bidi="ar"/>
              </w:rPr>
              <w:t>240KA</w:t>
            </w:r>
            <w:r>
              <w:rPr>
                <w:rStyle w:val="16"/>
                <w:lang w:val="en-US" w:eastAsia="zh-CN" w:bidi="ar"/>
              </w:rPr>
              <w:t>×312台,330KA×564台电解槽</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电解铝</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70.00 </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69.65</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铝液电解交流电耗(kwh/t)</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13350</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13000</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13149.25</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基准水平</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西宁市</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青海桥头铝电股份有限公司</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5"/>
                <w:lang w:val="en-US" w:eastAsia="zh-CN" w:bidi="ar"/>
              </w:rPr>
              <w:t>240KA</w:t>
            </w:r>
            <w:r>
              <w:rPr>
                <w:rStyle w:val="16"/>
                <w:lang w:val="en-US" w:eastAsia="zh-CN" w:bidi="ar"/>
              </w:rPr>
              <w:t>×472台电解槽</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电解铝</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30.00 </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29.63</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铝液电解交流电耗(kwh/t)</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13350</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13000</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13243.08</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基准水平</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海东市</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青海西部水电有限公司</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5"/>
                <w:lang w:val="en-US" w:eastAsia="zh-CN" w:bidi="ar"/>
              </w:rPr>
              <w:t>240KA</w:t>
            </w:r>
            <w:r>
              <w:rPr>
                <w:rStyle w:val="16"/>
                <w:lang w:val="en-US" w:eastAsia="zh-CN" w:bidi="ar"/>
              </w:rPr>
              <w:t>×236台,420KA×272台电解槽</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电解铝</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45.00 </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43.27</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铝液电解交流电耗(kwh/t)</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13350</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13000</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13271.85</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基准水平</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西宁市</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黄河鑫业有限公司</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5"/>
                <w:lang w:val="en-US" w:eastAsia="zh-CN" w:bidi="ar"/>
              </w:rPr>
              <w:t>350KA</w:t>
            </w:r>
            <w:r>
              <w:rPr>
                <w:rStyle w:val="16"/>
                <w:lang w:val="en-US" w:eastAsia="zh-CN" w:bidi="ar"/>
              </w:rPr>
              <w:t>×286台,400KA×286台电解槽</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电解铝</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 </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57.16</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铝液电解交流电耗(kwh/t)</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13350</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13000</w:t>
            </w: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13294.87</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基准水平</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海东市</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青海佳韵商贸有限公司</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5"/>
                <w:lang w:val="en-US" w:eastAsia="zh-CN" w:bidi="ar"/>
              </w:rPr>
              <w:t>200KA</w:t>
            </w:r>
            <w:r>
              <w:rPr>
                <w:rStyle w:val="16"/>
                <w:lang w:val="en-US" w:eastAsia="zh-CN" w:bidi="ar"/>
              </w:rPr>
              <w:t>×120台电解槽</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电解铝</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6.50 </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铝液电解交流电耗(kwh/t)</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13350</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13000</w:t>
            </w: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13305.94</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基准水平</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西宁市</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青海物产工业投资有限公司</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5"/>
                <w:lang w:val="en-US" w:eastAsia="zh-CN" w:bidi="ar"/>
              </w:rPr>
              <w:t>240KA</w:t>
            </w:r>
            <w:r>
              <w:rPr>
                <w:rStyle w:val="16"/>
                <w:lang w:val="en-US" w:eastAsia="zh-CN" w:bidi="ar"/>
              </w:rPr>
              <w:t>×162台电解槽</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电解铝</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 </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10.77</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铝液电解交流电耗(kwh/t)</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13350</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13000</w:t>
            </w: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13334.81</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基准水平</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2021年10月-2022年9月数据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9"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西宁市</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青海海源绿能铝业有限公司</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400KA×312台电解槽</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电解铝</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35.00 </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FF0000"/>
                <w:sz w:val="20"/>
                <w:szCs w:val="20"/>
                <w:u w:val="none"/>
                <w:lang w:val="en-US"/>
              </w:rPr>
            </w:pPr>
            <w:r>
              <w:rPr>
                <w:rFonts w:hint="eastAsia" w:ascii="宋体" w:hAnsi="宋体" w:eastAsia="宋体" w:cs="宋体"/>
                <w:i w:val="0"/>
                <w:iCs w:val="0"/>
                <w:color w:val="auto"/>
                <w:kern w:val="0"/>
                <w:sz w:val="20"/>
                <w:szCs w:val="20"/>
                <w:u w:val="none"/>
                <w:lang w:val="en-US" w:eastAsia="zh-CN" w:bidi="ar"/>
              </w:rPr>
              <w:t>13</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铝液电解交流电耗(kwh/t)</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13350</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13000</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13328.87</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基准水平</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2022年6月-11月数据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3"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海西州</w:t>
            </w:r>
          </w:p>
        </w:tc>
        <w:tc>
          <w:tcPr>
            <w:tcW w:w="135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青海西豫有色金属有限公司</w:t>
            </w:r>
          </w:p>
        </w:tc>
        <w:tc>
          <w:tcPr>
            <w:tcW w:w="15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空压机×1                          球磨机×1                           风机×2</w:t>
            </w:r>
          </w:p>
        </w:tc>
        <w:tc>
          <w:tcPr>
            <w:tcW w:w="100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电铅</w:t>
            </w:r>
          </w:p>
        </w:tc>
        <w:tc>
          <w:tcPr>
            <w:tcW w:w="10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 </w:t>
            </w:r>
          </w:p>
        </w:tc>
        <w:tc>
          <w:tcPr>
            <w:tcW w:w="11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7.76</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铅电解精炼工序(kgce/t)</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54.03</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标杆水平</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5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p>
        </w:tc>
        <w:tc>
          <w:tcPr>
            <w:tcW w:w="1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铅冶炼工艺(kgce/t)</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287.19</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标杆水平</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3"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5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p>
        </w:tc>
        <w:tc>
          <w:tcPr>
            <w:tcW w:w="1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粗铅</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 </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9.08</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粗铅工艺(kgce/t)</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230.86</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基准水平</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西宁市</w:t>
            </w:r>
          </w:p>
        </w:tc>
        <w:tc>
          <w:tcPr>
            <w:tcW w:w="135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青海铜业有限责任公司</w:t>
            </w:r>
          </w:p>
        </w:tc>
        <w:tc>
          <w:tcPr>
            <w:tcW w:w="158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熔炼炉× 1                                吹炼炉×1                                        阳极精炼炉×2</w:t>
            </w:r>
          </w:p>
        </w:tc>
        <w:tc>
          <w:tcPr>
            <w:tcW w:w="100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阴极铜</w:t>
            </w:r>
          </w:p>
        </w:tc>
        <w:tc>
          <w:tcPr>
            <w:tcW w:w="10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 </w:t>
            </w:r>
          </w:p>
        </w:tc>
        <w:tc>
          <w:tcPr>
            <w:tcW w:w="11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11.33 </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电解工序 ( 阳极铜- 阴极铜)(kgce/t)</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84.18</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标杆水平</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5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p>
        </w:tc>
        <w:tc>
          <w:tcPr>
            <w:tcW w:w="158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粗铜工艺 (铜精矿-粗铜)</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142.17</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基准水平</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9"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5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p>
        </w:tc>
        <w:tc>
          <w:tcPr>
            <w:tcW w:w="158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阳极铜工艺 (铜精矿- 阳极铜)(kgce/t)</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194.4</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基准水平</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5"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5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p>
        </w:tc>
        <w:tc>
          <w:tcPr>
            <w:tcW w:w="158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铜冶炼工艺 (铜精矿- 阴极铜)(kgce/t)</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307.61</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基准水平</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西宁市</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西部矿业股份有限公司锌业分公司</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电解槽×86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保护气氛感应电炉×1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压力釜×3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燃气锅炉×5</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锌锭</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 </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11.37 </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湿法炼锌工艺：电锌锭 (无浸出渣火法处理工艺)(精矿- 电锌锌锭)(kgce/t)</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950</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821.68</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基准水平</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2021年数据</w:t>
            </w:r>
          </w:p>
        </w:tc>
      </w:tr>
    </w:tbl>
    <w:p>
      <w:pPr>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widowControl w:val="0"/>
        <w:wordWrap/>
        <w:adjustRightInd/>
        <w:snapToGrid/>
        <w:spacing w:line="640" w:lineRule="exact"/>
        <w:ind w:right="0"/>
        <w:jc w:val="center"/>
        <w:textAlignment w:val="auto"/>
        <w:outlineLvl w:val="9"/>
        <w:rPr>
          <w:rFonts w:hint="default" w:ascii="方正小标宋简体" w:hAnsi="方正小标宋简体" w:eastAsia="方正小标宋简体" w:cs="方正小标宋简体"/>
          <w:color w:val="auto"/>
          <w:kern w:val="0"/>
          <w:sz w:val="32"/>
          <w:szCs w:val="32"/>
          <w:lang w:val="en-US" w:eastAsia="zh-CN"/>
        </w:rPr>
      </w:pPr>
      <w:r>
        <w:rPr>
          <w:rFonts w:hint="eastAsia" w:ascii="方正小标宋简体" w:hAnsi="方正小标宋简体" w:eastAsia="方正小标宋简体" w:cs="方正小标宋简体"/>
          <w:color w:val="auto"/>
          <w:kern w:val="0"/>
          <w:sz w:val="32"/>
          <w:szCs w:val="32"/>
          <w:lang w:val="en-US" w:eastAsia="zh-CN"/>
        </w:rPr>
        <w:t>青海省</w:t>
      </w:r>
      <w:r>
        <w:rPr>
          <w:rFonts w:hint="eastAsia" w:ascii="方正小标宋简体" w:hAnsi="方正小标宋简体" w:eastAsia="方正小标宋简体" w:cs="方正小标宋简体"/>
          <w:sz w:val="32"/>
          <w:szCs w:val="32"/>
          <w:lang w:eastAsia="zh-CN"/>
        </w:rPr>
        <w:t>重点领域</w:t>
      </w:r>
      <w:r>
        <w:rPr>
          <w:rFonts w:hint="eastAsia" w:ascii="方正小标宋简体" w:hAnsi="方正小标宋简体" w:eastAsia="方正小标宋简体" w:cs="方正小标宋简体"/>
          <w:color w:val="auto"/>
          <w:kern w:val="0"/>
          <w:sz w:val="32"/>
          <w:szCs w:val="32"/>
          <w:lang w:val="en-US" w:eastAsia="zh-CN"/>
        </w:rPr>
        <w:t>有色金属冶炼领域企业节能技术改造项目清单</w:t>
      </w:r>
    </w:p>
    <w:tbl>
      <w:tblPr>
        <w:tblStyle w:val="8"/>
        <w:tblW w:w="154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
        <w:gridCol w:w="958"/>
        <w:gridCol w:w="1223"/>
        <w:gridCol w:w="888"/>
        <w:gridCol w:w="1179"/>
        <w:gridCol w:w="819"/>
        <w:gridCol w:w="640"/>
        <w:gridCol w:w="3833"/>
        <w:gridCol w:w="1134"/>
        <w:gridCol w:w="1729"/>
        <w:gridCol w:w="1895"/>
        <w:gridCol w:w="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blHeader/>
          <w:jc w:val="center"/>
        </w:trPr>
        <w:tc>
          <w:tcPr>
            <w:tcW w:w="378" w:type="dxa"/>
            <w:vAlign w:val="center"/>
          </w:tcPr>
          <w:p>
            <w:pPr>
              <w:widowControl/>
              <w:spacing w:line="240" w:lineRule="exact"/>
              <w:jc w:val="center"/>
              <w:textAlignment w:val="center"/>
              <w:rPr>
                <w:rFonts w:ascii="黑体" w:hAnsi="黑体" w:eastAsia="黑体" w:cs="黑体"/>
                <w:kern w:val="0"/>
                <w:sz w:val="18"/>
                <w:szCs w:val="18"/>
              </w:rPr>
            </w:pPr>
            <w:r>
              <w:rPr>
                <w:rFonts w:hint="eastAsia" w:ascii="黑体" w:hAnsi="黑体" w:eastAsia="黑体" w:cs="黑体"/>
                <w:kern w:val="0"/>
                <w:sz w:val="18"/>
                <w:szCs w:val="18"/>
              </w:rPr>
              <w:t>序</w:t>
            </w:r>
          </w:p>
          <w:p>
            <w:pPr>
              <w:widowControl/>
              <w:spacing w:line="240" w:lineRule="exact"/>
              <w:jc w:val="center"/>
              <w:textAlignment w:val="center"/>
              <w:rPr>
                <w:rFonts w:ascii="黑体" w:hAnsi="黑体" w:eastAsia="黑体" w:cs="黑体"/>
                <w:sz w:val="18"/>
                <w:szCs w:val="18"/>
              </w:rPr>
            </w:pPr>
            <w:r>
              <w:rPr>
                <w:rFonts w:hint="eastAsia" w:ascii="黑体" w:hAnsi="黑体" w:eastAsia="黑体" w:cs="黑体"/>
                <w:kern w:val="0"/>
                <w:sz w:val="18"/>
                <w:szCs w:val="18"/>
              </w:rPr>
              <w:t>号</w:t>
            </w:r>
          </w:p>
        </w:tc>
        <w:tc>
          <w:tcPr>
            <w:tcW w:w="958" w:type="dxa"/>
            <w:vAlign w:val="center"/>
          </w:tcPr>
          <w:p>
            <w:pPr>
              <w:widowControl/>
              <w:spacing w:line="240" w:lineRule="exact"/>
              <w:jc w:val="center"/>
              <w:textAlignment w:val="center"/>
              <w:rPr>
                <w:rFonts w:ascii="黑体" w:hAnsi="黑体" w:eastAsia="黑体" w:cs="黑体"/>
                <w:kern w:val="0"/>
                <w:sz w:val="18"/>
                <w:szCs w:val="18"/>
              </w:rPr>
            </w:pPr>
            <w:r>
              <w:rPr>
                <w:rFonts w:hint="eastAsia" w:ascii="黑体" w:hAnsi="黑体" w:eastAsia="黑体" w:cs="黑体"/>
                <w:kern w:val="0"/>
                <w:sz w:val="18"/>
                <w:szCs w:val="18"/>
              </w:rPr>
              <w:t>所属重</w:t>
            </w:r>
          </w:p>
          <w:p>
            <w:pPr>
              <w:widowControl/>
              <w:spacing w:line="240" w:lineRule="exact"/>
              <w:jc w:val="center"/>
              <w:textAlignment w:val="center"/>
              <w:rPr>
                <w:rFonts w:ascii="黑体" w:hAnsi="黑体" w:eastAsia="黑体" w:cs="黑体"/>
                <w:sz w:val="18"/>
                <w:szCs w:val="18"/>
              </w:rPr>
            </w:pPr>
            <w:r>
              <w:rPr>
                <w:rFonts w:hint="eastAsia" w:ascii="黑体" w:hAnsi="黑体" w:eastAsia="黑体" w:cs="黑体"/>
                <w:kern w:val="0"/>
                <w:sz w:val="18"/>
                <w:szCs w:val="18"/>
              </w:rPr>
              <w:t>点领域</w:t>
            </w:r>
          </w:p>
        </w:tc>
        <w:tc>
          <w:tcPr>
            <w:tcW w:w="1223" w:type="dxa"/>
            <w:vAlign w:val="center"/>
          </w:tcPr>
          <w:p>
            <w:pPr>
              <w:widowControl/>
              <w:spacing w:line="240" w:lineRule="exact"/>
              <w:jc w:val="center"/>
              <w:textAlignment w:val="center"/>
              <w:rPr>
                <w:rFonts w:ascii="黑体" w:hAnsi="黑体" w:eastAsia="黑体" w:cs="黑体"/>
                <w:sz w:val="18"/>
                <w:szCs w:val="18"/>
              </w:rPr>
            </w:pPr>
            <w:r>
              <w:rPr>
                <w:rFonts w:hint="eastAsia" w:ascii="黑体" w:hAnsi="黑体" w:eastAsia="黑体" w:cs="黑体"/>
                <w:kern w:val="0"/>
                <w:sz w:val="18"/>
                <w:szCs w:val="18"/>
              </w:rPr>
              <w:t>企业名称</w:t>
            </w:r>
          </w:p>
        </w:tc>
        <w:tc>
          <w:tcPr>
            <w:tcW w:w="888" w:type="dxa"/>
            <w:vAlign w:val="center"/>
          </w:tcPr>
          <w:p>
            <w:pPr>
              <w:widowControl/>
              <w:spacing w:line="240" w:lineRule="exact"/>
              <w:jc w:val="center"/>
              <w:textAlignment w:val="center"/>
              <w:rPr>
                <w:rFonts w:ascii="黑体" w:hAnsi="黑体" w:eastAsia="黑体" w:cs="黑体"/>
                <w:kern w:val="0"/>
                <w:sz w:val="18"/>
                <w:szCs w:val="18"/>
              </w:rPr>
            </w:pPr>
            <w:r>
              <w:rPr>
                <w:rFonts w:hint="eastAsia" w:ascii="黑体" w:hAnsi="黑体" w:eastAsia="黑体" w:cs="黑体"/>
                <w:kern w:val="0"/>
                <w:sz w:val="18"/>
                <w:szCs w:val="18"/>
              </w:rPr>
              <w:t>所在</w:t>
            </w:r>
          </w:p>
          <w:p>
            <w:pPr>
              <w:widowControl/>
              <w:spacing w:line="240" w:lineRule="exact"/>
              <w:jc w:val="center"/>
              <w:textAlignment w:val="center"/>
              <w:rPr>
                <w:rFonts w:ascii="黑体" w:hAnsi="黑体" w:eastAsia="黑体" w:cs="黑体"/>
                <w:sz w:val="18"/>
                <w:szCs w:val="18"/>
              </w:rPr>
            </w:pPr>
            <w:r>
              <w:rPr>
                <w:rFonts w:hint="eastAsia" w:ascii="黑体" w:hAnsi="黑体" w:eastAsia="黑体" w:cs="黑体"/>
                <w:kern w:val="0"/>
                <w:sz w:val="18"/>
                <w:szCs w:val="18"/>
              </w:rPr>
              <w:t>地区</w:t>
            </w:r>
          </w:p>
        </w:tc>
        <w:tc>
          <w:tcPr>
            <w:tcW w:w="1179" w:type="dxa"/>
            <w:vAlign w:val="center"/>
          </w:tcPr>
          <w:p>
            <w:pPr>
              <w:widowControl/>
              <w:spacing w:line="240" w:lineRule="exact"/>
              <w:jc w:val="center"/>
              <w:textAlignment w:val="center"/>
              <w:rPr>
                <w:rFonts w:ascii="黑体" w:hAnsi="黑体" w:eastAsia="黑体" w:cs="黑体"/>
                <w:sz w:val="18"/>
                <w:szCs w:val="18"/>
              </w:rPr>
            </w:pPr>
            <w:r>
              <w:rPr>
                <w:rFonts w:hint="eastAsia" w:ascii="黑体" w:hAnsi="黑体" w:eastAsia="黑体" w:cs="黑体"/>
                <w:kern w:val="0"/>
                <w:sz w:val="18"/>
                <w:szCs w:val="18"/>
              </w:rPr>
              <w:t>项目名称</w:t>
            </w:r>
          </w:p>
        </w:tc>
        <w:tc>
          <w:tcPr>
            <w:tcW w:w="819" w:type="dxa"/>
            <w:vAlign w:val="center"/>
          </w:tcPr>
          <w:p>
            <w:pPr>
              <w:widowControl/>
              <w:spacing w:line="240" w:lineRule="exact"/>
              <w:jc w:val="center"/>
              <w:textAlignment w:val="center"/>
              <w:rPr>
                <w:rFonts w:ascii="黑体" w:hAnsi="黑体" w:eastAsia="黑体" w:cs="黑体"/>
                <w:sz w:val="18"/>
                <w:szCs w:val="18"/>
              </w:rPr>
            </w:pPr>
            <w:r>
              <w:rPr>
                <w:rFonts w:hint="eastAsia" w:ascii="黑体" w:hAnsi="黑体" w:eastAsia="黑体" w:cs="黑体"/>
                <w:kern w:val="0"/>
                <w:sz w:val="18"/>
                <w:szCs w:val="18"/>
              </w:rPr>
              <w:t>技改投资总额(万元)</w:t>
            </w:r>
          </w:p>
        </w:tc>
        <w:tc>
          <w:tcPr>
            <w:tcW w:w="640" w:type="dxa"/>
            <w:vAlign w:val="center"/>
          </w:tcPr>
          <w:p>
            <w:pPr>
              <w:widowControl/>
              <w:spacing w:line="240" w:lineRule="exact"/>
              <w:jc w:val="center"/>
              <w:textAlignment w:val="center"/>
              <w:rPr>
                <w:rFonts w:ascii="黑体" w:hAnsi="黑体" w:eastAsia="黑体" w:cs="黑体"/>
                <w:sz w:val="18"/>
                <w:szCs w:val="18"/>
              </w:rPr>
            </w:pPr>
            <w:r>
              <w:rPr>
                <w:rFonts w:hint="eastAsia" w:ascii="黑体" w:hAnsi="黑体" w:eastAsia="黑体" w:cs="黑体"/>
                <w:kern w:val="0"/>
                <w:sz w:val="18"/>
                <w:szCs w:val="18"/>
              </w:rPr>
              <w:t>资金</w:t>
            </w:r>
            <w:r>
              <w:rPr>
                <w:rFonts w:hint="eastAsia" w:ascii="黑体" w:hAnsi="黑体" w:eastAsia="黑体" w:cs="黑体"/>
                <w:kern w:val="0"/>
                <w:sz w:val="18"/>
                <w:szCs w:val="18"/>
              </w:rPr>
              <w:br w:type="textWrapping"/>
            </w:r>
            <w:r>
              <w:rPr>
                <w:rFonts w:hint="eastAsia" w:ascii="黑体" w:hAnsi="黑体" w:eastAsia="黑体" w:cs="黑体"/>
                <w:kern w:val="0"/>
                <w:sz w:val="18"/>
                <w:szCs w:val="18"/>
              </w:rPr>
              <w:t>来源</w:t>
            </w:r>
          </w:p>
        </w:tc>
        <w:tc>
          <w:tcPr>
            <w:tcW w:w="3833" w:type="dxa"/>
            <w:vAlign w:val="center"/>
          </w:tcPr>
          <w:p>
            <w:pPr>
              <w:widowControl/>
              <w:spacing w:line="240" w:lineRule="exact"/>
              <w:jc w:val="center"/>
              <w:textAlignment w:val="center"/>
              <w:rPr>
                <w:rFonts w:ascii="黑体" w:hAnsi="黑体" w:eastAsia="黑体" w:cs="黑体"/>
                <w:sz w:val="18"/>
                <w:szCs w:val="18"/>
              </w:rPr>
            </w:pPr>
            <w:r>
              <w:rPr>
                <w:rFonts w:hint="eastAsia" w:ascii="黑体" w:hAnsi="黑体" w:eastAsia="黑体" w:cs="黑体"/>
                <w:kern w:val="0"/>
                <w:sz w:val="18"/>
                <w:szCs w:val="18"/>
              </w:rPr>
              <w:t>技术改造内容</w:t>
            </w:r>
          </w:p>
        </w:tc>
        <w:tc>
          <w:tcPr>
            <w:tcW w:w="1134" w:type="dxa"/>
            <w:vAlign w:val="center"/>
          </w:tcPr>
          <w:p>
            <w:pPr>
              <w:widowControl/>
              <w:spacing w:line="240" w:lineRule="exact"/>
              <w:jc w:val="center"/>
              <w:textAlignment w:val="center"/>
              <w:rPr>
                <w:rFonts w:ascii="黑体" w:hAnsi="黑体" w:eastAsia="黑体" w:cs="黑体"/>
                <w:sz w:val="18"/>
                <w:szCs w:val="18"/>
              </w:rPr>
            </w:pPr>
            <w:r>
              <w:rPr>
                <w:rFonts w:hint="eastAsia" w:ascii="黑体" w:hAnsi="黑体" w:eastAsia="黑体" w:cs="黑体"/>
                <w:kern w:val="0"/>
                <w:sz w:val="18"/>
                <w:szCs w:val="18"/>
              </w:rPr>
              <w:t>实施时间</w:t>
            </w:r>
          </w:p>
        </w:tc>
        <w:tc>
          <w:tcPr>
            <w:tcW w:w="1729" w:type="dxa"/>
            <w:vAlign w:val="center"/>
          </w:tcPr>
          <w:p>
            <w:pPr>
              <w:widowControl/>
              <w:spacing w:line="240" w:lineRule="exact"/>
              <w:jc w:val="center"/>
              <w:textAlignment w:val="center"/>
              <w:rPr>
                <w:rFonts w:ascii="黑体" w:hAnsi="黑体" w:eastAsia="黑体" w:cs="黑体"/>
                <w:sz w:val="18"/>
                <w:szCs w:val="18"/>
              </w:rPr>
            </w:pPr>
            <w:r>
              <w:rPr>
                <w:rFonts w:hint="eastAsia" w:ascii="黑体" w:hAnsi="黑体" w:eastAsia="黑体" w:cs="黑体"/>
                <w:kern w:val="0"/>
                <w:sz w:val="18"/>
                <w:szCs w:val="18"/>
              </w:rPr>
              <w:t>当前能效水平及所属能效范围</w:t>
            </w:r>
          </w:p>
        </w:tc>
        <w:tc>
          <w:tcPr>
            <w:tcW w:w="1895" w:type="dxa"/>
            <w:vAlign w:val="center"/>
          </w:tcPr>
          <w:p>
            <w:pPr>
              <w:widowControl/>
              <w:spacing w:line="240" w:lineRule="exact"/>
              <w:jc w:val="center"/>
              <w:textAlignment w:val="center"/>
              <w:rPr>
                <w:rFonts w:hint="eastAsia" w:ascii="黑体" w:hAnsi="黑体" w:eastAsia="黑体" w:cs="黑体"/>
                <w:sz w:val="18"/>
                <w:szCs w:val="18"/>
                <w:lang w:eastAsia="zh-CN"/>
              </w:rPr>
            </w:pPr>
            <w:r>
              <w:rPr>
                <w:rFonts w:hint="eastAsia" w:ascii="黑体" w:hAnsi="黑体" w:eastAsia="黑体" w:cs="黑体"/>
                <w:kern w:val="0"/>
                <w:sz w:val="18"/>
                <w:szCs w:val="18"/>
              </w:rPr>
              <w:t>改造后预期</w:t>
            </w:r>
            <w:r>
              <w:rPr>
                <w:rFonts w:hint="eastAsia" w:ascii="黑体" w:hAnsi="黑体" w:eastAsia="黑体" w:cs="黑体"/>
                <w:kern w:val="0"/>
                <w:sz w:val="18"/>
                <w:szCs w:val="18"/>
                <w:lang w:eastAsia="zh-CN"/>
              </w:rPr>
              <w:t>效果</w:t>
            </w:r>
          </w:p>
        </w:tc>
        <w:tc>
          <w:tcPr>
            <w:tcW w:w="726" w:type="dxa"/>
            <w:vAlign w:val="center"/>
          </w:tcPr>
          <w:p>
            <w:pPr>
              <w:widowControl/>
              <w:spacing w:line="240" w:lineRule="exact"/>
              <w:jc w:val="center"/>
              <w:textAlignment w:val="center"/>
              <w:rPr>
                <w:rFonts w:ascii="黑体" w:hAnsi="黑体" w:eastAsia="黑体" w:cs="黑体"/>
                <w:kern w:val="0"/>
                <w:sz w:val="18"/>
                <w:szCs w:val="18"/>
              </w:rPr>
            </w:pPr>
            <w:r>
              <w:rPr>
                <w:rFonts w:ascii="黑体" w:hAnsi="黑体" w:eastAsia="黑体" w:cs="黑体"/>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02" w:type="dxa"/>
            <w:gridSpan w:val="12"/>
            <w:vAlign w:val="center"/>
          </w:tcPr>
          <w:p>
            <w:pPr>
              <w:widowControl/>
              <w:spacing w:line="240" w:lineRule="exact"/>
              <w:jc w:val="center"/>
              <w:textAlignment w:val="center"/>
              <w:rPr>
                <w:rFonts w:hint="eastAsia" w:ascii="黑体" w:hAnsi="黑体" w:eastAsia="黑体" w:cs="黑体"/>
                <w:kern w:val="0"/>
                <w:sz w:val="18"/>
                <w:szCs w:val="18"/>
                <w:lang w:val="en-US" w:eastAsia="zh-CN"/>
              </w:rPr>
            </w:pPr>
            <w:r>
              <w:rPr>
                <w:rFonts w:hint="eastAsia" w:ascii="黑体" w:hAnsi="黑体" w:eastAsia="黑体" w:cs="黑体"/>
                <w:kern w:val="0"/>
                <w:sz w:val="15"/>
                <w:szCs w:val="15"/>
                <w:lang w:val="en-US" w:eastAsia="zh-CN"/>
              </w:rPr>
              <w:t>电解铝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378" w:type="dxa"/>
            <w:vMerge w:val="restart"/>
            <w:vAlign w:val="center"/>
          </w:tcPr>
          <w:p>
            <w:pPr>
              <w:widowControl/>
              <w:spacing w:line="240" w:lineRule="exact"/>
              <w:jc w:val="center"/>
              <w:textAlignment w:val="center"/>
              <w:rPr>
                <w:rFonts w:ascii="宋体" w:hAnsi="宋体" w:eastAsia="宋体" w:cs="宋体"/>
                <w:kern w:val="0"/>
                <w:sz w:val="15"/>
                <w:szCs w:val="15"/>
              </w:rPr>
            </w:pPr>
            <w:r>
              <w:rPr>
                <w:rFonts w:hint="eastAsia" w:ascii="宋体" w:hAnsi="宋体" w:eastAsia="宋体" w:cs="宋体"/>
                <w:kern w:val="0"/>
                <w:sz w:val="15"/>
                <w:szCs w:val="15"/>
              </w:rPr>
              <w:t>1</w:t>
            </w:r>
          </w:p>
        </w:tc>
        <w:tc>
          <w:tcPr>
            <w:tcW w:w="958" w:type="dxa"/>
            <w:vMerge w:val="restart"/>
            <w:vAlign w:val="center"/>
          </w:tcPr>
          <w:p>
            <w:pPr>
              <w:widowControl/>
              <w:spacing w:line="240" w:lineRule="exact"/>
              <w:jc w:val="center"/>
              <w:textAlignment w:val="center"/>
              <w:rPr>
                <w:rFonts w:hint="eastAsia" w:ascii="宋体" w:hAnsi="宋体" w:eastAsia="宋体" w:cs="宋体"/>
                <w:i/>
                <w:iCs/>
                <w:color w:val="000000"/>
                <w:kern w:val="0"/>
                <w:sz w:val="15"/>
                <w:szCs w:val="15"/>
              </w:rPr>
            </w:pPr>
            <w:r>
              <w:rPr>
                <w:rFonts w:hint="eastAsia" w:ascii="宋体" w:hAnsi="宋体" w:eastAsia="宋体" w:cs="宋体"/>
                <w:kern w:val="0"/>
                <w:sz w:val="15"/>
                <w:szCs w:val="15"/>
              </w:rPr>
              <w:t>电解铝</w:t>
            </w:r>
          </w:p>
        </w:tc>
        <w:tc>
          <w:tcPr>
            <w:tcW w:w="1223" w:type="dxa"/>
            <w:vMerge w:val="restart"/>
            <w:vAlign w:val="center"/>
          </w:tcPr>
          <w:p>
            <w:pPr>
              <w:widowControl/>
              <w:spacing w:line="240" w:lineRule="exact"/>
              <w:jc w:val="center"/>
              <w:textAlignment w:val="center"/>
              <w:rPr>
                <w:rFonts w:ascii="宋体" w:hAnsi="宋体" w:eastAsia="宋体" w:cs="宋体"/>
                <w:sz w:val="15"/>
                <w:szCs w:val="15"/>
              </w:rPr>
            </w:pPr>
            <w:r>
              <w:rPr>
                <w:rFonts w:ascii="宋体" w:hAnsi="宋体" w:eastAsia="宋体" w:cs="宋体"/>
                <w:sz w:val="15"/>
                <w:szCs w:val="15"/>
              </w:rPr>
              <w:t>青海西部水电有限公司</w:t>
            </w:r>
          </w:p>
        </w:tc>
        <w:tc>
          <w:tcPr>
            <w:tcW w:w="888" w:type="dxa"/>
            <w:vMerge w:val="restart"/>
            <w:vAlign w:val="center"/>
          </w:tcPr>
          <w:p>
            <w:pPr>
              <w:widowControl/>
              <w:spacing w:line="240" w:lineRule="exact"/>
              <w:jc w:val="center"/>
              <w:textAlignment w:val="center"/>
              <w:rPr>
                <w:rFonts w:hint="eastAsia" w:ascii="宋体" w:hAnsi="宋体" w:eastAsia="宋体" w:cs="宋体"/>
                <w:sz w:val="15"/>
                <w:szCs w:val="15"/>
                <w:lang w:eastAsia="zh-CN"/>
              </w:rPr>
            </w:pPr>
            <w:r>
              <w:rPr>
                <w:rFonts w:hint="eastAsia" w:ascii="宋体" w:hAnsi="宋体" w:eastAsia="宋体" w:cs="宋体"/>
                <w:sz w:val="15"/>
                <w:szCs w:val="15"/>
                <w:lang w:eastAsia="zh-CN"/>
              </w:rPr>
              <w:t>青海省</w:t>
            </w:r>
            <w:r>
              <w:rPr>
                <w:rFonts w:ascii="宋体" w:hAnsi="宋体" w:eastAsia="宋体" w:cs="宋体"/>
                <w:sz w:val="15"/>
                <w:szCs w:val="15"/>
              </w:rPr>
              <w:t>海东市</w:t>
            </w:r>
            <w:r>
              <w:rPr>
                <w:rFonts w:hint="eastAsia" w:ascii="宋体" w:hAnsi="宋体" w:eastAsia="宋体" w:cs="宋体"/>
                <w:sz w:val="15"/>
                <w:szCs w:val="15"/>
                <w:lang w:eastAsia="zh-CN"/>
              </w:rPr>
              <w:t>民和县</w:t>
            </w:r>
          </w:p>
        </w:tc>
        <w:tc>
          <w:tcPr>
            <w:tcW w:w="1179" w:type="dxa"/>
            <w:vAlign w:val="center"/>
          </w:tcPr>
          <w:p>
            <w:pPr>
              <w:widowControl/>
              <w:spacing w:line="240" w:lineRule="exact"/>
              <w:jc w:val="left"/>
              <w:textAlignment w:val="center"/>
              <w:rPr>
                <w:rFonts w:hint="eastAsia" w:ascii="宋体" w:hAnsi="宋体" w:eastAsia="宋体" w:cs="Arial"/>
                <w:kern w:val="0"/>
                <w:sz w:val="15"/>
                <w:szCs w:val="15"/>
                <w:lang w:val="en-US" w:eastAsia="zh-CN" w:bidi="ar-SA"/>
              </w:rPr>
            </w:pPr>
            <w:r>
              <w:rPr>
                <w:rFonts w:hint="eastAsia" w:ascii="宋体" w:hAnsi="宋体" w:eastAsia="宋体" w:cs="宋体"/>
                <w:w w:val="90"/>
                <w:sz w:val="15"/>
                <w:szCs w:val="15"/>
              </w:rPr>
              <w:t>420kA电解槽大修</w:t>
            </w:r>
          </w:p>
        </w:tc>
        <w:tc>
          <w:tcPr>
            <w:tcW w:w="819"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ascii="宋体" w:hAnsi="宋体" w:eastAsia="宋体" w:cs="宋体"/>
                <w:sz w:val="15"/>
                <w:szCs w:val="15"/>
              </w:rPr>
              <w:t>15240</w:t>
            </w:r>
          </w:p>
        </w:tc>
        <w:tc>
          <w:tcPr>
            <w:tcW w:w="640"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黑体"/>
                <w:color w:val="000000"/>
                <w:kern w:val="0"/>
                <w:sz w:val="15"/>
                <w:szCs w:val="15"/>
                <w:lang w:bidi="ar"/>
              </w:rPr>
              <w:t>自筹</w:t>
            </w:r>
          </w:p>
        </w:tc>
        <w:tc>
          <w:tcPr>
            <w:tcW w:w="3833" w:type="dxa"/>
            <w:vAlign w:val="center"/>
          </w:tcPr>
          <w:p>
            <w:pPr>
              <w:widowControl/>
              <w:spacing w:line="24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采用一体化成型的50%高石墨质阴极，通过优化电解槽的阴极结构，特别是优化电解槽阴极炭块与阴极钢棒的组合形式，将钢棒按照一定比例分割成上下两部分，从而改变阴极钢棒的导电结构，采用双阴极钢棒电解槽的焙烧启动和工艺控制操作技术，保持双阴极钢棒电解槽的高效运行，减少铝液水平电流，提高电解槽稳定性，降低电解槽能耗的目的。</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2021年1月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2022年12月</w:t>
            </w:r>
          </w:p>
        </w:tc>
        <w:tc>
          <w:tcPr>
            <w:tcW w:w="1729" w:type="dxa"/>
            <w:vMerge w:val="restart"/>
            <w:vAlign w:val="center"/>
          </w:tcPr>
          <w:p>
            <w:pPr>
              <w:widowControl/>
              <w:spacing w:line="240" w:lineRule="exact"/>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铝液电解交流电耗</w:t>
            </w:r>
            <w:r>
              <w:rPr>
                <w:rFonts w:ascii="宋体" w:hAnsi="宋体" w:eastAsia="宋体" w:cs="宋体"/>
                <w:color w:val="000000"/>
                <w:kern w:val="0"/>
                <w:sz w:val="15"/>
                <w:szCs w:val="15"/>
              </w:rPr>
              <w:t>13271.85</w:t>
            </w:r>
            <w:r>
              <w:rPr>
                <w:rFonts w:hint="eastAsia" w:ascii="宋体" w:hAnsi="宋体" w:eastAsia="宋体" w:cs="黑体"/>
                <w:color w:val="000000"/>
                <w:kern w:val="0"/>
                <w:sz w:val="15"/>
                <w:szCs w:val="15"/>
                <w:lang w:eastAsia="zh-CN" w:bidi="ar"/>
              </w:rPr>
              <w:t>（</w:t>
            </w:r>
            <w:r>
              <w:rPr>
                <w:rFonts w:hint="eastAsia" w:ascii="宋体" w:hAnsi="宋体" w:eastAsia="宋体" w:cs="黑体"/>
                <w:color w:val="000000"/>
                <w:kern w:val="0"/>
                <w:sz w:val="15"/>
                <w:szCs w:val="15"/>
                <w:lang w:bidi="ar"/>
              </w:rPr>
              <w:t>kWh/t</w:t>
            </w:r>
            <w:r>
              <w:rPr>
                <w:rFonts w:hint="eastAsia" w:ascii="宋体" w:hAnsi="宋体" w:eastAsia="宋体" w:cs="黑体"/>
                <w:color w:val="000000"/>
                <w:kern w:val="0"/>
                <w:sz w:val="15"/>
                <w:szCs w:val="15"/>
                <w:lang w:eastAsia="zh-CN" w:bidi="ar"/>
              </w:rPr>
              <w:t>）</w:t>
            </w:r>
            <w:r>
              <w:rPr>
                <w:rFonts w:hint="eastAsia" w:ascii="宋体" w:hAnsi="宋体" w:eastAsia="宋体" w:cs="宋体"/>
                <w:color w:val="000000"/>
                <w:kern w:val="0"/>
                <w:sz w:val="15"/>
                <w:szCs w:val="15"/>
              </w:rPr>
              <w:t>（ 基准水平）</w:t>
            </w:r>
          </w:p>
        </w:tc>
        <w:tc>
          <w:tcPr>
            <w:tcW w:w="1895" w:type="dxa"/>
            <w:vAlign w:val="center"/>
          </w:tcPr>
          <w:p>
            <w:pPr>
              <w:widowControl/>
              <w:spacing w:line="240" w:lineRule="exact"/>
              <w:jc w:val="center"/>
              <w:textAlignment w:val="center"/>
              <w:rPr>
                <w:rFonts w:hint="eastAsia" w:ascii="宋体" w:hAnsi="宋体" w:eastAsia="宋体" w:cs="宋体"/>
                <w:i/>
                <w:iCs/>
                <w:color w:val="000000"/>
                <w:kern w:val="0"/>
                <w:sz w:val="15"/>
                <w:szCs w:val="15"/>
                <w:lang w:val="en-US" w:eastAsia="zh-CN" w:bidi="ar-SA"/>
              </w:rPr>
            </w:pPr>
            <w:r>
              <w:rPr>
                <w:rFonts w:hint="eastAsia" w:ascii="宋体" w:hAnsi="宋体" w:eastAsia="宋体" w:cs="宋体"/>
                <w:color w:val="000000"/>
                <w:kern w:val="0"/>
                <w:sz w:val="15"/>
                <w:szCs w:val="15"/>
              </w:rPr>
              <w:t>铝液电解交流电</w:t>
            </w:r>
            <w:r>
              <w:rPr>
                <w:rFonts w:hint="eastAsia" w:ascii="宋体" w:hAnsi="宋体" w:eastAsia="宋体" w:cs="宋体"/>
                <w:color w:val="000000"/>
                <w:kern w:val="0"/>
                <w:sz w:val="15"/>
                <w:szCs w:val="15"/>
                <w:lang w:eastAsia="zh-CN"/>
              </w:rPr>
              <w:t>耗</w:t>
            </w:r>
            <w:r>
              <w:rPr>
                <w:rFonts w:hint="eastAsia" w:ascii="宋体" w:hAnsi="宋体" w:eastAsia="宋体" w:cs="宋体"/>
                <w:color w:val="000000"/>
                <w:kern w:val="0"/>
                <w:sz w:val="15"/>
                <w:szCs w:val="15"/>
              </w:rPr>
              <w:t>13089</w:t>
            </w:r>
            <w:r>
              <w:rPr>
                <w:rFonts w:hint="eastAsia" w:ascii="宋体" w:hAnsi="宋体" w:eastAsia="宋体" w:cs="黑体"/>
                <w:color w:val="000000"/>
                <w:kern w:val="0"/>
                <w:sz w:val="15"/>
                <w:szCs w:val="15"/>
                <w:lang w:eastAsia="zh-CN" w:bidi="ar"/>
              </w:rPr>
              <w:t>（</w:t>
            </w:r>
            <w:r>
              <w:rPr>
                <w:rFonts w:hint="eastAsia" w:ascii="宋体" w:hAnsi="宋体" w:eastAsia="宋体" w:cs="黑体"/>
                <w:color w:val="000000"/>
                <w:kern w:val="0"/>
                <w:sz w:val="15"/>
                <w:szCs w:val="15"/>
                <w:lang w:bidi="ar"/>
              </w:rPr>
              <w:t>kWh/t</w:t>
            </w:r>
            <w:r>
              <w:rPr>
                <w:rFonts w:hint="eastAsia" w:ascii="宋体" w:hAnsi="宋体" w:eastAsia="宋体" w:cs="黑体"/>
                <w:color w:val="000000"/>
                <w:kern w:val="0"/>
                <w:sz w:val="15"/>
                <w:szCs w:val="15"/>
                <w:lang w:eastAsia="zh-CN" w:bidi="ar"/>
              </w:rPr>
              <w:t>）</w:t>
            </w:r>
            <w:r>
              <w:rPr>
                <w:rFonts w:hint="eastAsia" w:ascii="宋体" w:hAnsi="宋体" w:eastAsia="宋体" w:cs="宋体"/>
                <w:color w:val="000000"/>
                <w:kern w:val="0"/>
                <w:sz w:val="15"/>
                <w:szCs w:val="15"/>
              </w:rPr>
              <w:t>（基准水平）</w:t>
            </w:r>
          </w:p>
        </w:tc>
        <w:tc>
          <w:tcPr>
            <w:tcW w:w="726" w:type="dxa"/>
            <w:vAlign w:val="center"/>
          </w:tcPr>
          <w:p>
            <w:pPr>
              <w:widowControl/>
              <w:spacing w:line="240" w:lineRule="exact"/>
              <w:jc w:val="center"/>
              <w:textAlignment w:val="center"/>
              <w:rPr>
                <w:rFonts w:hint="eastAsia" w:ascii="宋体" w:hAnsi="宋体" w:eastAsia="宋体" w:cs="宋体"/>
                <w:color w:val="000000"/>
                <w:kern w:val="0"/>
                <w:sz w:val="15"/>
                <w:szCs w:val="15"/>
                <w:lang w:val="en-US" w:eastAsia="zh-CN" w:bidi="ar-SA"/>
              </w:rPr>
            </w:pPr>
            <w:r>
              <w:rPr>
                <w:rFonts w:hint="eastAsia" w:ascii="宋体" w:hAnsi="宋体" w:eastAsia="宋体" w:cs="宋体"/>
                <w:color w:val="000000"/>
                <w:kern w:val="0"/>
                <w:sz w:val="15"/>
                <w:szCs w:val="15"/>
              </w:rPr>
              <w:t>升级改造（已实施）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rPr>
            </w:pPr>
          </w:p>
        </w:tc>
        <w:tc>
          <w:tcPr>
            <w:tcW w:w="958" w:type="dxa"/>
            <w:vMerge w:val="continue"/>
            <w:vAlign w:val="center"/>
          </w:tcPr>
          <w:p>
            <w:pPr>
              <w:widowControl/>
              <w:spacing w:line="240" w:lineRule="exact"/>
              <w:jc w:val="center"/>
              <w:textAlignment w:val="center"/>
              <w:rPr>
                <w:rFonts w:hint="eastAsia" w:ascii="宋体" w:hAnsi="宋体" w:eastAsia="宋体" w:cs="宋体"/>
                <w:kern w:val="0"/>
                <w:sz w:val="15"/>
                <w:szCs w:val="15"/>
              </w:rPr>
            </w:pPr>
          </w:p>
        </w:tc>
        <w:tc>
          <w:tcPr>
            <w:tcW w:w="1223" w:type="dxa"/>
            <w:vMerge w:val="continue"/>
            <w:vAlign w:val="center"/>
          </w:tcPr>
          <w:p>
            <w:pPr>
              <w:widowControl/>
              <w:spacing w:line="240" w:lineRule="exact"/>
              <w:jc w:val="left"/>
              <w:textAlignment w:val="center"/>
              <w:rPr>
                <w:rFonts w:ascii="宋体" w:hAnsi="宋体" w:eastAsia="宋体" w:cs="宋体"/>
                <w:sz w:val="15"/>
                <w:szCs w:val="15"/>
              </w:rPr>
            </w:pPr>
          </w:p>
        </w:tc>
        <w:tc>
          <w:tcPr>
            <w:tcW w:w="888" w:type="dxa"/>
            <w:vMerge w:val="continue"/>
            <w:vAlign w:val="center"/>
          </w:tcPr>
          <w:p>
            <w:pPr>
              <w:widowControl/>
              <w:spacing w:line="240" w:lineRule="exact"/>
              <w:jc w:val="center"/>
              <w:textAlignment w:val="center"/>
              <w:rPr>
                <w:rFonts w:hint="eastAsia" w:ascii="宋体" w:hAnsi="宋体" w:eastAsia="宋体" w:cs="宋体"/>
                <w:sz w:val="15"/>
                <w:szCs w:val="15"/>
                <w:lang w:eastAsia="zh-CN"/>
              </w:rPr>
            </w:pPr>
          </w:p>
        </w:tc>
        <w:tc>
          <w:tcPr>
            <w:tcW w:w="1179" w:type="dxa"/>
            <w:vAlign w:val="center"/>
          </w:tcPr>
          <w:p>
            <w:pPr>
              <w:widowControl/>
              <w:spacing w:line="240" w:lineRule="exact"/>
              <w:jc w:val="left"/>
              <w:textAlignment w:val="center"/>
              <w:rPr>
                <w:rFonts w:hint="eastAsia" w:ascii="宋体" w:hAnsi="宋体" w:eastAsia="宋体" w:cs="宋体"/>
                <w:w w:val="90"/>
                <w:sz w:val="15"/>
                <w:szCs w:val="15"/>
                <w:lang w:val="en-US" w:eastAsia="zh-CN"/>
              </w:rPr>
            </w:pPr>
            <w:r>
              <w:rPr>
                <w:rFonts w:hint="eastAsia" w:ascii="宋体" w:hAnsi="宋体" w:eastAsia="宋体" w:cs="宋体"/>
                <w:w w:val="90"/>
                <w:sz w:val="15"/>
                <w:szCs w:val="15"/>
              </w:rPr>
              <w:t>420kA电解槽全石墨化磷生铁浇筑技术改造</w:t>
            </w:r>
          </w:p>
        </w:tc>
        <w:tc>
          <w:tcPr>
            <w:tcW w:w="819" w:type="dxa"/>
            <w:vAlign w:val="center"/>
          </w:tcPr>
          <w:p>
            <w:pPr>
              <w:widowControl/>
              <w:spacing w:line="240" w:lineRule="exact"/>
              <w:jc w:val="center"/>
              <w:textAlignment w:val="center"/>
              <w:rPr>
                <w:rFonts w:ascii="宋体" w:hAnsi="宋体" w:eastAsia="宋体" w:cs="宋体"/>
                <w:kern w:val="2"/>
                <w:sz w:val="15"/>
                <w:szCs w:val="15"/>
                <w:lang w:val="en-US" w:eastAsia="zh-CN" w:bidi="ar-SA"/>
              </w:rPr>
            </w:pPr>
            <w:r>
              <w:rPr>
                <w:rFonts w:hint="eastAsia" w:ascii="宋体" w:hAnsi="宋体" w:eastAsia="宋体" w:cs="宋体"/>
                <w:sz w:val="15"/>
                <w:szCs w:val="15"/>
              </w:rPr>
              <w:t>13206</w:t>
            </w:r>
          </w:p>
        </w:tc>
        <w:tc>
          <w:tcPr>
            <w:tcW w:w="640"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黑体"/>
                <w:color w:val="000000"/>
                <w:kern w:val="0"/>
                <w:sz w:val="15"/>
                <w:szCs w:val="15"/>
                <w:lang w:bidi="ar"/>
              </w:rPr>
              <w:t>自筹</w:t>
            </w:r>
          </w:p>
        </w:tc>
        <w:tc>
          <w:tcPr>
            <w:tcW w:w="3833" w:type="dxa"/>
            <w:vAlign w:val="center"/>
          </w:tcPr>
          <w:p>
            <w:pPr>
              <w:widowControl/>
              <w:spacing w:line="24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对420kA系列71台电解槽采用全石墨化阴极，磷生铁浇筑阴极技术。通过优化电解槽的阴极结构，特别是优化电解槽阴极炭块与阴极钢棒的组合形式，从而改变阴极钢棒的导电结构，降低炉底压降，采用磷生铁浇筑阴极电解槽的焙烧启动和工艺控制操作技术，保持电解槽的高效运行，减少铝液水平电流，提高电解槽稳定性，降低电解槽能耗的目的。</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2023年1月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2023年12月</w:t>
            </w:r>
          </w:p>
        </w:tc>
        <w:tc>
          <w:tcPr>
            <w:tcW w:w="1729" w:type="dxa"/>
            <w:vMerge w:val="continue"/>
            <w:vAlign w:val="center"/>
          </w:tcPr>
          <w:p>
            <w:pPr>
              <w:widowControl/>
              <w:spacing w:line="240" w:lineRule="exact"/>
              <w:jc w:val="center"/>
              <w:textAlignment w:val="center"/>
              <w:rPr>
                <w:rFonts w:hint="eastAsia" w:ascii="宋体" w:hAnsi="宋体" w:eastAsia="宋体" w:cs="宋体"/>
                <w:color w:val="000000"/>
                <w:kern w:val="0"/>
                <w:sz w:val="15"/>
                <w:szCs w:val="15"/>
              </w:rPr>
            </w:pPr>
          </w:p>
        </w:tc>
        <w:tc>
          <w:tcPr>
            <w:tcW w:w="1895" w:type="dxa"/>
            <w:vAlign w:val="center"/>
          </w:tcPr>
          <w:p>
            <w:pPr>
              <w:widowControl/>
              <w:spacing w:line="240" w:lineRule="exact"/>
              <w:jc w:val="center"/>
              <w:textAlignment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铝液电解交流电耗</w:t>
            </w:r>
          </w:p>
          <w:p>
            <w:pPr>
              <w:widowControl/>
              <w:spacing w:line="240" w:lineRule="exact"/>
              <w:jc w:val="center"/>
              <w:textAlignment w:val="center"/>
              <w:rPr>
                <w:rFonts w:hint="eastAsia" w:ascii="宋体" w:hAnsi="宋体" w:eastAsia="宋体" w:cs="宋体"/>
                <w:color w:val="FF0000"/>
                <w:kern w:val="0"/>
                <w:sz w:val="15"/>
                <w:szCs w:val="15"/>
              </w:rPr>
            </w:pPr>
            <w:r>
              <w:rPr>
                <w:rFonts w:hint="eastAsia" w:ascii="宋体" w:hAnsi="宋体" w:eastAsia="宋体" w:cs="宋体"/>
                <w:color w:val="000000"/>
                <w:kern w:val="0"/>
                <w:sz w:val="15"/>
                <w:szCs w:val="15"/>
              </w:rPr>
              <w:t>130</w:t>
            </w:r>
            <w:r>
              <w:rPr>
                <w:rFonts w:hint="eastAsia" w:ascii="宋体" w:hAnsi="宋体" w:eastAsia="宋体" w:cs="宋体"/>
                <w:color w:val="000000"/>
                <w:kern w:val="0"/>
                <w:sz w:val="15"/>
                <w:szCs w:val="15"/>
                <w:lang w:val="en-US" w:eastAsia="zh-CN"/>
              </w:rPr>
              <w:t>69</w:t>
            </w:r>
            <w:r>
              <w:rPr>
                <w:rFonts w:hint="eastAsia" w:ascii="宋体" w:hAnsi="宋体" w:eastAsia="宋体" w:cs="黑体"/>
                <w:color w:val="000000"/>
                <w:kern w:val="0"/>
                <w:sz w:val="15"/>
                <w:szCs w:val="15"/>
                <w:lang w:eastAsia="zh-CN" w:bidi="ar"/>
              </w:rPr>
              <w:t>（</w:t>
            </w:r>
            <w:r>
              <w:rPr>
                <w:rFonts w:hint="eastAsia" w:ascii="宋体" w:hAnsi="宋体" w:eastAsia="宋体" w:cs="黑体"/>
                <w:color w:val="000000"/>
                <w:kern w:val="0"/>
                <w:sz w:val="15"/>
                <w:szCs w:val="15"/>
                <w:lang w:bidi="ar"/>
              </w:rPr>
              <w:t>kWh/t</w:t>
            </w:r>
            <w:r>
              <w:rPr>
                <w:rFonts w:hint="eastAsia" w:ascii="宋体" w:hAnsi="宋体" w:eastAsia="宋体" w:cs="黑体"/>
                <w:color w:val="000000"/>
                <w:kern w:val="0"/>
                <w:sz w:val="15"/>
                <w:szCs w:val="15"/>
                <w:lang w:eastAsia="zh-CN" w:bidi="ar"/>
              </w:rPr>
              <w:t>）</w:t>
            </w:r>
            <w:r>
              <w:rPr>
                <w:rFonts w:hint="eastAsia" w:ascii="宋体" w:hAnsi="宋体" w:eastAsia="宋体" w:cs="宋体"/>
                <w:color w:val="000000"/>
                <w:kern w:val="0"/>
                <w:sz w:val="15"/>
                <w:szCs w:val="15"/>
              </w:rPr>
              <w:t>（基准水平）</w:t>
            </w:r>
          </w:p>
        </w:tc>
        <w:tc>
          <w:tcPr>
            <w:tcW w:w="726" w:type="dxa"/>
            <w:vAlign w:val="center"/>
          </w:tcPr>
          <w:p>
            <w:pPr>
              <w:widowControl/>
              <w:spacing w:line="240" w:lineRule="exact"/>
              <w:jc w:val="center"/>
              <w:textAlignment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升级</w:t>
            </w:r>
          </w:p>
          <w:p>
            <w:pPr>
              <w:widowControl/>
              <w:spacing w:line="240" w:lineRule="exact"/>
              <w:jc w:val="center"/>
              <w:textAlignment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rPr>
            </w:pPr>
          </w:p>
        </w:tc>
        <w:tc>
          <w:tcPr>
            <w:tcW w:w="958" w:type="dxa"/>
            <w:vMerge w:val="continue"/>
            <w:vAlign w:val="center"/>
          </w:tcPr>
          <w:p>
            <w:pPr>
              <w:widowControl/>
              <w:spacing w:line="240" w:lineRule="exact"/>
              <w:jc w:val="center"/>
              <w:textAlignment w:val="center"/>
              <w:rPr>
                <w:rFonts w:hint="eastAsia" w:ascii="宋体" w:hAnsi="宋体" w:eastAsia="宋体" w:cs="宋体"/>
                <w:kern w:val="0"/>
                <w:sz w:val="15"/>
                <w:szCs w:val="15"/>
              </w:rPr>
            </w:pPr>
          </w:p>
        </w:tc>
        <w:tc>
          <w:tcPr>
            <w:tcW w:w="1223" w:type="dxa"/>
            <w:vMerge w:val="continue"/>
            <w:vAlign w:val="center"/>
          </w:tcPr>
          <w:p>
            <w:pPr>
              <w:widowControl/>
              <w:spacing w:line="240" w:lineRule="exact"/>
              <w:jc w:val="left"/>
              <w:textAlignment w:val="center"/>
              <w:rPr>
                <w:rFonts w:ascii="宋体" w:hAnsi="宋体" w:eastAsia="宋体" w:cs="宋体"/>
                <w:color w:val="0070C0"/>
                <w:sz w:val="15"/>
                <w:szCs w:val="15"/>
              </w:rPr>
            </w:pPr>
          </w:p>
        </w:tc>
        <w:tc>
          <w:tcPr>
            <w:tcW w:w="888" w:type="dxa"/>
            <w:vMerge w:val="continue"/>
            <w:vAlign w:val="center"/>
          </w:tcPr>
          <w:p>
            <w:pPr>
              <w:widowControl/>
              <w:spacing w:line="240" w:lineRule="exact"/>
              <w:jc w:val="center"/>
              <w:textAlignment w:val="center"/>
              <w:rPr>
                <w:rFonts w:hint="eastAsia" w:ascii="宋体" w:hAnsi="宋体" w:eastAsia="宋体" w:cs="宋体"/>
                <w:sz w:val="15"/>
                <w:szCs w:val="15"/>
                <w:lang w:eastAsia="zh-CN"/>
              </w:rPr>
            </w:pPr>
          </w:p>
        </w:tc>
        <w:tc>
          <w:tcPr>
            <w:tcW w:w="1179" w:type="dxa"/>
            <w:vAlign w:val="center"/>
          </w:tcPr>
          <w:p>
            <w:pPr>
              <w:widowControl/>
              <w:spacing w:line="240" w:lineRule="exact"/>
              <w:jc w:val="left"/>
              <w:textAlignment w:val="center"/>
              <w:rPr>
                <w:rFonts w:hint="eastAsia" w:ascii="宋体" w:hAnsi="宋体" w:eastAsia="宋体" w:cs="宋体"/>
                <w:w w:val="90"/>
                <w:sz w:val="15"/>
                <w:szCs w:val="15"/>
                <w:lang w:val="en-US" w:eastAsia="zh-CN"/>
              </w:rPr>
            </w:pPr>
            <w:r>
              <w:rPr>
                <w:rFonts w:hint="eastAsia" w:ascii="宋体" w:hAnsi="宋体" w:eastAsia="宋体" w:cs="宋体"/>
                <w:w w:val="90"/>
                <w:sz w:val="15"/>
                <w:szCs w:val="15"/>
              </w:rPr>
              <w:t>烟气余热利用利用节能改造</w:t>
            </w:r>
          </w:p>
        </w:tc>
        <w:tc>
          <w:tcPr>
            <w:tcW w:w="819"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kern w:val="0"/>
                <w:sz w:val="15"/>
                <w:szCs w:val="15"/>
              </w:rPr>
              <w:t>2450</w:t>
            </w:r>
          </w:p>
        </w:tc>
        <w:tc>
          <w:tcPr>
            <w:tcW w:w="640"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黑体"/>
                <w:color w:val="000000"/>
                <w:kern w:val="0"/>
                <w:sz w:val="15"/>
                <w:szCs w:val="15"/>
                <w:lang w:bidi="ar"/>
              </w:rPr>
              <w:t>自筹</w:t>
            </w:r>
          </w:p>
        </w:tc>
        <w:tc>
          <w:tcPr>
            <w:tcW w:w="3833" w:type="dxa"/>
            <w:vAlign w:val="center"/>
          </w:tcPr>
          <w:p>
            <w:pPr>
              <w:widowControl/>
              <w:spacing w:line="24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在电解槽烟气净化总烟管上，安装烟气余热回收热换装置，电解槽烟气在余热回收装置内与一次热媒进行热交换，各余热回收装置并联使用，一次热媒通过管网汇集并输送至热用户处，用作采暖热水或送至生活用水换热站生产50℃生活用水，从而达到回收利用电解烟气余热的目的。</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2021年5月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2022年11月</w:t>
            </w:r>
          </w:p>
        </w:tc>
        <w:tc>
          <w:tcPr>
            <w:tcW w:w="1729" w:type="dxa"/>
            <w:vMerge w:val="continue"/>
            <w:vAlign w:val="center"/>
          </w:tcPr>
          <w:p>
            <w:pPr>
              <w:widowControl/>
              <w:spacing w:line="240" w:lineRule="exact"/>
              <w:jc w:val="center"/>
              <w:textAlignment w:val="center"/>
              <w:rPr>
                <w:rFonts w:hint="eastAsia" w:ascii="宋体" w:hAnsi="宋体" w:eastAsia="宋体" w:cs="宋体"/>
                <w:color w:val="000000"/>
                <w:kern w:val="0"/>
                <w:sz w:val="15"/>
                <w:szCs w:val="15"/>
              </w:rPr>
            </w:pPr>
          </w:p>
        </w:tc>
        <w:tc>
          <w:tcPr>
            <w:tcW w:w="1895" w:type="dxa"/>
            <w:vAlign w:val="center"/>
          </w:tcPr>
          <w:p>
            <w:pPr>
              <w:widowControl/>
              <w:spacing w:line="240" w:lineRule="exact"/>
              <w:jc w:val="center"/>
              <w:textAlignment w:val="center"/>
              <w:rPr>
                <w:rFonts w:ascii="宋体" w:hAnsi="宋体" w:eastAsia="宋体" w:cs="宋体"/>
                <w:i/>
                <w:iCs/>
                <w:color w:val="000000"/>
                <w:kern w:val="0"/>
                <w:sz w:val="15"/>
                <w:szCs w:val="15"/>
                <w:lang w:val="en-US" w:eastAsia="zh-CN" w:bidi="ar-SA"/>
              </w:rPr>
            </w:pPr>
            <w:r>
              <w:rPr>
                <w:rFonts w:ascii="宋体" w:hAnsi="宋体" w:eastAsia="宋体" w:cs="宋体"/>
                <w:color w:val="000000"/>
                <w:kern w:val="0"/>
                <w:sz w:val="15"/>
                <w:szCs w:val="15"/>
              </w:rPr>
              <w:t>由收集的电解烟气余热供热水、供暖，年均节约</w:t>
            </w:r>
            <w:r>
              <w:rPr>
                <w:rFonts w:hint="eastAsia" w:ascii="宋体" w:hAnsi="宋体" w:eastAsia="宋体" w:cs="宋体"/>
                <w:color w:val="000000"/>
                <w:kern w:val="0"/>
                <w:sz w:val="15"/>
                <w:szCs w:val="15"/>
              </w:rPr>
              <w:t>标煤</w:t>
            </w:r>
            <w:r>
              <w:rPr>
                <w:rFonts w:ascii="宋体" w:hAnsi="宋体" w:eastAsia="宋体" w:cs="宋体"/>
                <w:color w:val="000000"/>
                <w:kern w:val="0"/>
                <w:sz w:val="15"/>
                <w:szCs w:val="15"/>
              </w:rPr>
              <w:t>约</w:t>
            </w:r>
            <w:r>
              <w:rPr>
                <w:rFonts w:hint="eastAsia" w:ascii="宋体" w:hAnsi="宋体" w:eastAsia="宋体" w:cs="宋体"/>
                <w:color w:val="000000"/>
                <w:kern w:val="0"/>
                <w:sz w:val="15"/>
                <w:szCs w:val="15"/>
              </w:rPr>
              <w:t>2700吨。</w:t>
            </w:r>
          </w:p>
        </w:tc>
        <w:tc>
          <w:tcPr>
            <w:tcW w:w="726" w:type="dxa"/>
            <w:vAlign w:val="center"/>
          </w:tcPr>
          <w:p>
            <w:pPr>
              <w:widowControl/>
              <w:spacing w:line="240" w:lineRule="exact"/>
              <w:jc w:val="center"/>
              <w:textAlignment w:val="center"/>
              <w:rPr>
                <w:rFonts w:hint="eastAsia" w:ascii="宋体" w:hAnsi="宋体" w:eastAsia="宋体" w:cs="宋体"/>
                <w:color w:val="000000"/>
                <w:kern w:val="0"/>
                <w:sz w:val="15"/>
                <w:szCs w:val="15"/>
                <w:lang w:val="en-US" w:eastAsia="zh-CN" w:bidi="ar-SA"/>
              </w:rPr>
            </w:pPr>
            <w:r>
              <w:rPr>
                <w:rFonts w:hint="eastAsia" w:ascii="宋体" w:hAnsi="宋体" w:eastAsia="宋体" w:cs="宋体"/>
                <w:color w:val="000000"/>
                <w:kern w:val="0"/>
                <w:sz w:val="15"/>
                <w:szCs w:val="15"/>
              </w:rPr>
              <w:t>升级改造（已实施）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8" w:type="dxa"/>
            <w:vMerge w:val="continue"/>
            <w:vAlign w:val="center"/>
          </w:tcPr>
          <w:p>
            <w:pPr>
              <w:widowControl/>
              <w:spacing w:line="240" w:lineRule="exact"/>
              <w:jc w:val="center"/>
              <w:textAlignment w:val="center"/>
              <w:rPr>
                <w:rFonts w:ascii="宋体" w:hAnsi="宋体" w:eastAsia="宋体" w:cs="宋体"/>
                <w:kern w:val="0"/>
                <w:sz w:val="15"/>
                <w:szCs w:val="15"/>
              </w:rPr>
            </w:pPr>
          </w:p>
        </w:tc>
        <w:tc>
          <w:tcPr>
            <w:tcW w:w="958" w:type="dxa"/>
            <w:vMerge w:val="continue"/>
            <w:vAlign w:val="center"/>
          </w:tcPr>
          <w:p>
            <w:pPr>
              <w:spacing w:line="240" w:lineRule="exact"/>
              <w:jc w:val="center"/>
              <w:textAlignment w:val="center"/>
              <w:rPr>
                <w:rFonts w:ascii="宋体" w:hAnsi="宋体" w:eastAsia="宋体" w:cs="宋体"/>
                <w:i/>
                <w:iCs/>
                <w:color w:val="000000"/>
                <w:kern w:val="0"/>
                <w:sz w:val="15"/>
                <w:szCs w:val="15"/>
              </w:rPr>
            </w:pPr>
          </w:p>
        </w:tc>
        <w:tc>
          <w:tcPr>
            <w:tcW w:w="1223" w:type="dxa"/>
            <w:vMerge w:val="continue"/>
            <w:vAlign w:val="center"/>
          </w:tcPr>
          <w:p>
            <w:pPr>
              <w:widowControl/>
              <w:spacing w:line="240" w:lineRule="exact"/>
              <w:jc w:val="left"/>
              <w:textAlignment w:val="center"/>
              <w:rPr>
                <w:rFonts w:ascii="宋体" w:hAnsi="宋体" w:eastAsia="宋体" w:cs="宋体"/>
                <w:sz w:val="15"/>
                <w:szCs w:val="15"/>
              </w:rPr>
            </w:pPr>
          </w:p>
        </w:tc>
        <w:tc>
          <w:tcPr>
            <w:tcW w:w="888" w:type="dxa"/>
            <w:vMerge w:val="continue"/>
            <w:vAlign w:val="center"/>
          </w:tcPr>
          <w:p>
            <w:pPr>
              <w:widowControl/>
              <w:spacing w:line="240" w:lineRule="exact"/>
              <w:jc w:val="center"/>
              <w:textAlignment w:val="center"/>
              <w:rPr>
                <w:rFonts w:ascii="宋体" w:hAnsi="宋体" w:eastAsia="宋体" w:cs="宋体"/>
                <w:sz w:val="15"/>
                <w:szCs w:val="15"/>
              </w:rPr>
            </w:pPr>
          </w:p>
        </w:tc>
        <w:tc>
          <w:tcPr>
            <w:tcW w:w="1179" w:type="dxa"/>
            <w:vAlign w:val="center"/>
          </w:tcPr>
          <w:p>
            <w:pPr>
              <w:widowControl/>
              <w:spacing w:line="240" w:lineRule="exact"/>
              <w:jc w:val="left"/>
              <w:textAlignment w:val="center"/>
              <w:rPr>
                <w:rFonts w:hint="eastAsia" w:ascii="宋体" w:hAnsi="宋体" w:eastAsia="宋体" w:cs="宋体"/>
                <w:w w:val="90"/>
                <w:sz w:val="15"/>
                <w:szCs w:val="15"/>
              </w:rPr>
            </w:pPr>
            <w:r>
              <w:rPr>
                <w:rFonts w:hint="eastAsia" w:ascii="宋体" w:hAnsi="宋体" w:eastAsia="宋体" w:cs="宋体"/>
                <w:w w:val="90"/>
                <w:sz w:val="15"/>
                <w:szCs w:val="15"/>
              </w:rPr>
              <w:t>空压机节能改造</w:t>
            </w:r>
          </w:p>
        </w:tc>
        <w:tc>
          <w:tcPr>
            <w:tcW w:w="819" w:type="dxa"/>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宋体"/>
                <w:sz w:val="15"/>
                <w:szCs w:val="15"/>
              </w:rPr>
              <w:t>280</w:t>
            </w:r>
          </w:p>
        </w:tc>
        <w:tc>
          <w:tcPr>
            <w:tcW w:w="640" w:type="dxa"/>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黑体"/>
                <w:color w:val="000000"/>
                <w:kern w:val="0"/>
                <w:sz w:val="15"/>
                <w:szCs w:val="15"/>
                <w:lang w:bidi="ar"/>
              </w:rPr>
              <w:t>自筹</w:t>
            </w:r>
          </w:p>
        </w:tc>
        <w:tc>
          <w:tcPr>
            <w:tcW w:w="3833" w:type="dxa"/>
            <w:vAlign w:val="center"/>
          </w:tcPr>
          <w:p>
            <w:pPr>
              <w:widowControl/>
              <w:spacing w:line="240" w:lineRule="exact"/>
              <w:jc w:val="left"/>
              <w:textAlignment w:val="center"/>
              <w:rPr>
                <w:rFonts w:ascii="宋体" w:hAnsi="宋体" w:eastAsia="宋体" w:cs="宋体"/>
                <w:sz w:val="15"/>
                <w:szCs w:val="15"/>
              </w:rPr>
            </w:pPr>
            <w:r>
              <w:rPr>
                <w:rFonts w:hint="eastAsia" w:ascii="宋体" w:hAnsi="宋体" w:eastAsia="宋体" w:cs="宋体"/>
                <w:sz w:val="15"/>
                <w:szCs w:val="15"/>
              </w:rPr>
              <w:t>通过对空压系统重点耗气单元及空压机进行节能技改。</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2023年1月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2023年6月</w:t>
            </w:r>
          </w:p>
        </w:tc>
        <w:tc>
          <w:tcPr>
            <w:tcW w:w="1729" w:type="dxa"/>
            <w:vMerge w:val="continue"/>
            <w:vAlign w:val="center"/>
          </w:tcPr>
          <w:p>
            <w:pPr>
              <w:widowControl/>
              <w:spacing w:line="240" w:lineRule="exact"/>
              <w:jc w:val="center"/>
              <w:textAlignment w:val="center"/>
              <w:rPr>
                <w:rFonts w:ascii="宋体" w:hAnsi="宋体" w:eastAsia="宋体" w:cs="宋体"/>
                <w:i/>
                <w:iCs/>
                <w:color w:val="000000"/>
                <w:kern w:val="0"/>
                <w:sz w:val="15"/>
                <w:szCs w:val="15"/>
              </w:rPr>
            </w:pPr>
          </w:p>
        </w:tc>
        <w:tc>
          <w:tcPr>
            <w:tcW w:w="1895" w:type="dxa"/>
            <w:vMerge w:val="restart"/>
            <w:vAlign w:val="center"/>
          </w:tcPr>
          <w:p>
            <w:pPr>
              <w:widowControl/>
              <w:spacing w:line="240" w:lineRule="exact"/>
              <w:jc w:val="center"/>
              <w:textAlignment w:val="center"/>
              <w:rPr>
                <w:rFonts w:hint="default" w:ascii="宋体" w:hAnsi="宋体" w:eastAsia="宋体" w:cs="宋体"/>
                <w:i/>
                <w:iCs/>
                <w:color w:val="000000"/>
                <w:kern w:val="0"/>
                <w:sz w:val="15"/>
                <w:szCs w:val="15"/>
                <w:lang w:val="en-US" w:eastAsia="zh-CN"/>
              </w:rPr>
            </w:pPr>
            <w:r>
              <w:rPr>
                <w:rFonts w:hint="eastAsia" w:ascii="宋体" w:hAnsi="宋体" w:eastAsia="宋体" w:cs="宋体"/>
                <w:color w:val="auto"/>
                <w:kern w:val="0"/>
                <w:sz w:val="15"/>
                <w:szCs w:val="15"/>
              </w:rPr>
              <w:t>铝液</w:t>
            </w:r>
            <w:r>
              <w:rPr>
                <w:rFonts w:hint="eastAsia" w:ascii="宋体" w:hAnsi="宋体" w:eastAsia="宋体" w:cs="宋体"/>
                <w:color w:val="auto"/>
                <w:kern w:val="0"/>
                <w:sz w:val="15"/>
                <w:szCs w:val="15"/>
                <w:lang w:eastAsia="zh-CN"/>
              </w:rPr>
              <w:t>综合</w:t>
            </w:r>
            <w:r>
              <w:rPr>
                <w:rFonts w:hint="eastAsia" w:ascii="宋体" w:hAnsi="宋体" w:eastAsia="宋体" w:cs="宋体"/>
                <w:color w:val="auto"/>
                <w:kern w:val="0"/>
                <w:sz w:val="15"/>
                <w:szCs w:val="15"/>
              </w:rPr>
              <w:t>交流电耗13450</w:t>
            </w:r>
            <w:r>
              <w:rPr>
                <w:rFonts w:hint="eastAsia" w:ascii="宋体" w:hAnsi="宋体" w:eastAsia="宋体" w:cs="黑体"/>
                <w:color w:val="000000"/>
                <w:kern w:val="0"/>
                <w:sz w:val="15"/>
                <w:szCs w:val="15"/>
                <w:lang w:eastAsia="zh-CN" w:bidi="ar"/>
              </w:rPr>
              <w:t>（</w:t>
            </w:r>
            <w:r>
              <w:rPr>
                <w:rFonts w:hint="eastAsia" w:ascii="宋体" w:hAnsi="宋体" w:eastAsia="宋体" w:cs="黑体"/>
                <w:color w:val="000000"/>
                <w:kern w:val="0"/>
                <w:sz w:val="15"/>
                <w:szCs w:val="15"/>
                <w:lang w:bidi="ar"/>
              </w:rPr>
              <w:t>kWh/t</w:t>
            </w:r>
            <w:r>
              <w:rPr>
                <w:rFonts w:hint="eastAsia" w:ascii="宋体" w:hAnsi="宋体" w:eastAsia="宋体" w:cs="黑体"/>
                <w:color w:val="000000"/>
                <w:kern w:val="0"/>
                <w:sz w:val="15"/>
                <w:szCs w:val="15"/>
                <w:lang w:eastAsia="zh-CN" w:bidi="ar"/>
              </w:rPr>
              <w:t>）</w:t>
            </w:r>
          </w:p>
        </w:tc>
        <w:tc>
          <w:tcPr>
            <w:tcW w:w="726" w:type="dxa"/>
            <w:vAlign w:val="center"/>
          </w:tcPr>
          <w:p>
            <w:pPr>
              <w:widowControl/>
              <w:spacing w:line="240" w:lineRule="exact"/>
              <w:jc w:val="center"/>
              <w:textAlignment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升级</w:t>
            </w:r>
          </w:p>
          <w:p>
            <w:pPr>
              <w:widowControl/>
              <w:spacing w:line="240" w:lineRule="exact"/>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8" w:type="dxa"/>
            <w:vMerge w:val="continue"/>
            <w:vAlign w:val="center"/>
          </w:tcPr>
          <w:p>
            <w:pPr>
              <w:widowControl/>
              <w:spacing w:line="240" w:lineRule="exact"/>
              <w:jc w:val="center"/>
              <w:textAlignment w:val="center"/>
              <w:rPr>
                <w:rFonts w:ascii="宋体" w:hAnsi="宋体" w:eastAsia="宋体" w:cs="宋体"/>
                <w:kern w:val="0"/>
                <w:sz w:val="15"/>
                <w:szCs w:val="15"/>
              </w:rPr>
            </w:pPr>
          </w:p>
        </w:tc>
        <w:tc>
          <w:tcPr>
            <w:tcW w:w="958" w:type="dxa"/>
            <w:vMerge w:val="continue"/>
            <w:vAlign w:val="center"/>
          </w:tcPr>
          <w:p>
            <w:pPr>
              <w:spacing w:line="240" w:lineRule="exact"/>
              <w:jc w:val="center"/>
              <w:textAlignment w:val="center"/>
              <w:rPr>
                <w:rFonts w:ascii="宋体" w:hAnsi="宋体" w:eastAsia="宋体" w:cs="宋体"/>
                <w:i/>
                <w:iCs/>
                <w:color w:val="000000"/>
                <w:kern w:val="0"/>
                <w:sz w:val="15"/>
                <w:szCs w:val="15"/>
              </w:rPr>
            </w:pPr>
          </w:p>
        </w:tc>
        <w:tc>
          <w:tcPr>
            <w:tcW w:w="1223" w:type="dxa"/>
            <w:vMerge w:val="continue"/>
            <w:vAlign w:val="center"/>
          </w:tcPr>
          <w:p>
            <w:pPr>
              <w:widowControl/>
              <w:spacing w:line="240" w:lineRule="exact"/>
              <w:jc w:val="left"/>
              <w:textAlignment w:val="center"/>
              <w:rPr>
                <w:rFonts w:ascii="宋体" w:hAnsi="宋体" w:eastAsia="宋体" w:cs="宋体"/>
                <w:sz w:val="15"/>
                <w:szCs w:val="15"/>
              </w:rPr>
            </w:pPr>
          </w:p>
        </w:tc>
        <w:tc>
          <w:tcPr>
            <w:tcW w:w="888" w:type="dxa"/>
            <w:vMerge w:val="continue"/>
            <w:vAlign w:val="center"/>
          </w:tcPr>
          <w:p>
            <w:pPr>
              <w:widowControl/>
              <w:spacing w:line="240" w:lineRule="exact"/>
              <w:jc w:val="center"/>
              <w:textAlignment w:val="center"/>
              <w:rPr>
                <w:rFonts w:ascii="宋体" w:hAnsi="宋体" w:eastAsia="宋体" w:cs="宋体"/>
                <w:sz w:val="15"/>
                <w:szCs w:val="15"/>
              </w:rPr>
            </w:pPr>
          </w:p>
        </w:tc>
        <w:tc>
          <w:tcPr>
            <w:tcW w:w="1179"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宋体" w:hAnsi="宋体" w:eastAsia="宋体" w:cs="Arial"/>
                <w:kern w:val="0"/>
                <w:sz w:val="15"/>
                <w:szCs w:val="15"/>
              </w:rPr>
            </w:pPr>
            <w:r>
              <w:rPr>
                <w:rFonts w:hint="eastAsia" w:ascii="宋体" w:hAnsi="宋体" w:eastAsia="宋体" w:cs="宋体"/>
                <w:w w:val="90"/>
                <w:sz w:val="15"/>
                <w:szCs w:val="15"/>
              </w:rPr>
              <w:t>分布式光伏发电</w:t>
            </w:r>
          </w:p>
        </w:tc>
        <w:tc>
          <w:tcPr>
            <w:tcW w:w="819" w:type="dxa"/>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宋体"/>
                <w:sz w:val="15"/>
                <w:szCs w:val="15"/>
              </w:rPr>
              <w:t>10380</w:t>
            </w:r>
          </w:p>
        </w:tc>
        <w:tc>
          <w:tcPr>
            <w:tcW w:w="640" w:type="dxa"/>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黑体"/>
                <w:color w:val="000000"/>
                <w:kern w:val="0"/>
                <w:sz w:val="15"/>
                <w:szCs w:val="15"/>
                <w:lang w:bidi="ar"/>
              </w:rPr>
              <w:t>自筹</w:t>
            </w:r>
          </w:p>
        </w:tc>
        <w:tc>
          <w:tcPr>
            <w:tcW w:w="3833" w:type="dxa"/>
            <w:vAlign w:val="center"/>
          </w:tcPr>
          <w:p>
            <w:pPr>
              <w:widowControl/>
              <w:spacing w:line="240" w:lineRule="exact"/>
              <w:jc w:val="left"/>
              <w:textAlignment w:val="center"/>
              <w:rPr>
                <w:rFonts w:ascii="宋体" w:hAnsi="宋体" w:eastAsia="宋体" w:cs="宋体"/>
                <w:sz w:val="15"/>
                <w:szCs w:val="15"/>
              </w:rPr>
            </w:pPr>
            <w:r>
              <w:rPr>
                <w:rFonts w:hint="eastAsia" w:ascii="宋体" w:hAnsi="宋体" w:eastAsia="宋体" w:cs="宋体"/>
                <w:sz w:val="15"/>
                <w:szCs w:val="15"/>
              </w:rPr>
              <w:t>实施装机容量为20MW分布式光伏发电项目。</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2023年3月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2023年12月</w:t>
            </w:r>
          </w:p>
        </w:tc>
        <w:tc>
          <w:tcPr>
            <w:tcW w:w="1729" w:type="dxa"/>
            <w:vMerge w:val="continue"/>
            <w:vAlign w:val="center"/>
          </w:tcPr>
          <w:p>
            <w:pPr>
              <w:widowControl/>
              <w:spacing w:line="240" w:lineRule="exact"/>
              <w:jc w:val="center"/>
              <w:textAlignment w:val="center"/>
              <w:rPr>
                <w:rFonts w:ascii="宋体" w:hAnsi="宋体" w:eastAsia="宋体" w:cs="宋体"/>
                <w:i/>
                <w:iCs/>
                <w:color w:val="000000"/>
                <w:kern w:val="0"/>
                <w:sz w:val="15"/>
                <w:szCs w:val="15"/>
              </w:rPr>
            </w:pPr>
          </w:p>
        </w:tc>
        <w:tc>
          <w:tcPr>
            <w:tcW w:w="1895" w:type="dxa"/>
            <w:vMerge w:val="continue"/>
            <w:vAlign w:val="center"/>
          </w:tcPr>
          <w:p>
            <w:pPr>
              <w:widowControl/>
              <w:spacing w:line="240" w:lineRule="exact"/>
              <w:jc w:val="center"/>
              <w:textAlignment w:val="center"/>
              <w:rPr>
                <w:rFonts w:ascii="宋体" w:hAnsi="宋体" w:eastAsia="宋体" w:cs="宋体"/>
                <w:i/>
                <w:iCs/>
                <w:color w:val="000000"/>
                <w:kern w:val="0"/>
                <w:sz w:val="15"/>
                <w:szCs w:val="15"/>
              </w:rPr>
            </w:pPr>
          </w:p>
        </w:tc>
        <w:tc>
          <w:tcPr>
            <w:tcW w:w="726" w:type="dxa"/>
            <w:vAlign w:val="center"/>
          </w:tcPr>
          <w:p>
            <w:pPr>
              <w:widowControl/>
              <w:spacing w:line="240" w:lineRule="exact"/>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378" w:type="dxa"/>
            <w:vMerge w:val="restart"/>
            <w:vAlign w:val="center"/>
          </w:tcPr>
          <w:p>
            <w:pPr>
              <w:widowControl/>
              <w:spacing w:line="240" w:lineRule="exact"/>
              <w:jc w:val="center"/>
              <w:textAlignment w:val="center"/>
              <w:rPr>
                <w:rFonts w:ascii="宋体" w:hAnsi="宋体" w:eastAsia="宋体" w:cs="宋体"/>
                <w:kern w:val="0"/>
                <w:sz w:val="15"/>
                <w:szCs w:val="15"/>
              </w:rPr>
            </w:pPr>
            <w:r>
              <w:rPr>
                <w:rFonts w:hint="eastAsia" w:ascii="宋体" w:hAnsi="宋体" w:eastAsia="宋体" w:cs="宋体"/>
                <w:kern w:val="0"/>
                <w:sz w:val="15"/>
                <w:szCs w:val="15"/>
              </w:rPr>
              <w:t>2</w:t>
            </w:r>
          </w:p>
        </w:tc>
        <w:tc>
          <w:tcPr>
            <w:tcW w:w="958" w:type="dxa"/>
            <w:vMerge w:val="restart"/>
            <w:vAlign w:val="center"/>
          </w:tcPr>
          <w:p>
            <w:pPr>
              <w:spacing w:line="240" w:lineRule="exact"/>
              <w:jc w:val="center"/>
              <w:textAlignment w:val="center"/>
              <w:rPr>
                <w:rFonts w:ascii="宋体" w:hAnsi="宋体" w:eastAsia="宋体" w:cs="宋体"/>
                <w:i/>
                <w:iCs/>
                <w:color w:val="000000"/>
                <w:kern w:val="0"/>
                <w:sz w:val="15"/>
                <w:szCs w:val="15"/>
              </w:rPr>
            </w:pPr>
            <w:r>
              <w:rPr>
                <w:rFonts w:hint="eastAsia" w:ascii="宋体" w:hAnsi="宋体" w:eastAsia="宋体" w:cs="宋体"/>
                <w:kern w:val="0"/>
                <w:sz w:val="15"/>
                <w:szCs w:val="15"/>
              </w:rPr>
              <w:t>电解铝</w:t>
            </w:r>
          </w:p>
        </w:tc>
        <w:tc>
          <w:tcPr>
            <w:tcW w:w="1223" w:type="dxa"/>
            <w:vMerge w:val="restart"/>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黑体"/>
                <w:color w:val="000000"/>
                <w:kern w:val="0"/>
                <w:sz w:val="15"/>
                <w:szCs w:val="15"/>
                <w:lang w:bidi="ar"/>
              </w:rPr>
              <w:t>青海百河铝业</w:t>
            </w:r>
            <w:r>
              <w:rPr>
                <w:rFonts w:hint="eastAsia" w:ascii="宋体" w:hAnsi="宋体" w:eastAsia="宋体" w:cs="黑体"/>
                <w:color w:val="000000"/>
                <w:kern w:val="0"/>
                <w:sz w:val="15"/>
                <w:szCs w:val="15"/>
                <w:lang w:bidi="ar"/>
              </w:rPr>
              <w:br w:type="textWrapping"/>
            </w:r>
            <w:r>
              <w:rPr>
                <w:rFonts w:hint="eastAsia" w:ascii="宋体" w:hAnsi="宋体" w:eastAsia="宋体" w:cs="黑体"/>
                <w:color w:val="000000"/>
                <w:kern w:val="0"/>
                <w:sz w:val="15"/>
                <w:szCs w:val="15"/>
                <w:lang w:bidi="ar"/>
              </w:rPr>
              <w:t>有限责任公司</w:t>
            </w:r>
          </w:p>
        </w:tc>
        <w:tc>
          <w:tcPr>
            <w:tcW w:w="888" w:type="dxa"/>
            <w:vMerge w:val="restart"/>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黑体"/>
                <w:color w:val="000000"/>
                <w:kern w:val="0"/>
                <w:sz w:val="15"/>
                <w:szCs w:val="15"/>
                <w:lang w:bidi="ar"/>
              </w:rPr>
              <w:t>青海省西宁市甘河工业园区</w:t>
            </w:r>
          </w:p>
        </w:tc>
        <w:tc>
          <w:tcPr>
            <w:tcW w:w="1179" w:type="dxa"/>
            <w:vAlign w:val="center"/>
          </w:tcPr>
          <w:p>
            <w:pPr>
              <w:widowControl/>
              <w:spacing w:line="240" w:lineRule="exact"/>
              <w:jc w:val="left"/>
              <w:textAlignment w:val="center"/>
              <w:rPr>
                <w:rFonts w:ascii="宋体" w:hAnsi="宋体" w:eastAsia="宋体" w:cs="Arial"/>
                <w:kern w:val="0"/>
                <w:sz w:val="15"/>
                <w:szCs w:val="15"/>
              </w:rPr>
            </w:pPr>
            <w:r>
              <w:rPr>
                <w:rFonts w:hint="eastAsia" w:ascii="宋体" w:hAnsi="宋体" w:eastAsia="宋体" w:cs="黑体"/>
                <w:color w:val="000000"/>
                <w:kern w:val="0"/>
                <w:sz w:val="15"/>
                <w:szCs w:val="15"/>
                <w:lang w:bidi="ar"/>
              </w:rPr>
              <w:t>全石墨化阴极电解槽技术探索及实践</w:t>
            </w:r>
          </w:p>
        </w:tc>
        <w:tc>
          <w:tcPr>
            <w:tcW w:w="819" w:type="dxa"/>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黑体"/>
                <w:color w:val="000000"/>
                <w:kern w:val="0"/>
                <w:sz w:val="15"/>
                <w:szCs w:val="15"/>
                <w:lang w:bidi="ar"/>
              </w:rPr>
              <w:t>2500</w:t>
            </w:r>
          </w:p>
        </w:tc>
        <w:tc>
          <w:tcPr>
            <w:tcW w:w="640" w:type="dxa"/>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黑体"/>
                <w:color w:val="000000"/>
                <w:kern w:val="0"/>
                <w:sz w:val="15"/>
                <w:szCs w:val="15"/>
                <w:lang w:bidi="ar"/>
              </w:rPr>
              <w:t>自筹</w:t>
            </w:r>
          </w:p>
        </w:tc>
        <w:tc>
          <w:tcPr>
            <w:tcW w:w="3833" w:type="dxa"/>
            <w:vAlign w:val="center"/>
          </w:tcPr>
          <w:p>
            <w:pPr>
              <w:widowControl/>
              <w:spacing w:line="240" w:lineRule="exact"/>
              <w:jc w:val="left"/>
              <w:textAlignment w:val="center"/>
              <w:rPr>
                <w:rFonts w:ascii="宋体" w:hAnsi="宋体" w:eastAsia="宋体" w:cs="宋体"/>
                <w:sz w:val="15"/>
                <w:szCs w:val="15"/>
              </w:rPr>
            </w:pPr>
            <w:r>
              <w:rPr>
                <w:rFonts w:hint="eastAsia" w:ascii="宋体" w:hAnsi="宋体" w:eastAsia="宋体" w:cs="黑体"/>
                <w:color w:val="000000"/>
                <w:kern w:val="0"/>
                <w:sz w:val="15"/>
                <w:szCs w:val="15"/>
                <w:lang w:bidi="ar"/>
              </w:rPr>
              <w:t xml:space="preserve">在330kA系列选取10台电解槽进行全石墨化阴极和磷生铁浇铸技术进行，试验计划采用两种方案进行：5台采用“石墨化阴极+高导电钢棒+磷生铁浇铸”方案；5台采用“石墨化阴极+嵌铜钢棒+磷生铁浇铸”技术。 </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2023年1月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2023年12月</w:t>
            </w:r>
          </w:p>
        </w:tc>
        <w:tc>
          <w:tcPr>
            <w:tcW w:w="1729" w:type="dxa"/>
            <w:vMerge w:val="restart"/>
            <w:vAlign w:val="center"/>
          </w:tcPr>
          <w:p>
            <w:pPr>
              <w:widowControl/>
              <w:spacing w:line="240" w:lineRule="exact"/>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铝液电解交流电耗</w:t>
            </w:r>
            <w:r>
              <w:rPr>
                <w:rFonts w:ascii="宋体" w:hAnsi="宋体" w:eastAsia="宋体" w:cs="宋体"/>
                <w:color w:val="000000"/>
                <w:kern w:val="0"/>
                <w:sz w:val="15"/>
                <w:szCs w:val="15"/>
              </w:rPr>
              <w:t>13149.25</w:t>
            </w:r>
            <w:r>
              <w:rPr>
                <w:rFonts w:hint="eastAsia" w:ascii="宋体" w:hAnsi="宋体" w:eastAsia="宋体" w:cs="黑体"/>
                <w:color w:val="000000"/>
                <w:kern w:val="0"/>
                <w:sz w:val="15"/>
                <w:szCs w:val="15"/>
                <w:lang w:eastAsia="zh-CN" w:bidi="ar"/>
              </w:rPr>
              <w:t>（</w:t>
            </w:r>
            <w:r>
              <w:rPr>
                <w:rFonts w:hint="eastAsia" w:ascii="宋体" w:hAnsi="宋体" w:eastAsia="宋体" w:cs="黑体"/>
                <w:color w:val="000000"/>
                <w:kern w:val="0"/>
                <w:sz w:val="15"/>
                <w:szCs w:val="15"/>
                <w:lang w:bidi="ar"/>
              </w:rPr>
              <w:t>kWh/t</w:t>
            </w:r>
            <w:r>
              <w:rPr>
                <w:rFonts w:hint="eastAsia" w:ascii="宋体" w:hAnsi="宋体" w:eastAsia="宋体" w:cs="黑体"/>
                <w:color w:val="000000"/>
                <w:kern w:val="0"/>
                <w:sz w:val="15"/>
                <w:szCs w:val="15"/>
                <w:lang w:eastAsia="zh-CN" w:bidi="ar"/>
              </w:rPr>
              <w:t>）</w:t>
            </w:r>
            <w:r>
              <w:rPr>
                <w:rFonts w:hint="eastAsia" w:ascii="宋体" w:hAnsi="宋体" w:eastAsia="宋体" w:cs="宋体"/>
                <w:color w:val="000000"/>
                <w:kern w:val="0"/>
                <w:sz w:val="15"/>
                <w:szCs w:val="15"/>
              </w:rPr>
              <w:t>（基准水平）</w:t>
            </w:r>
          </w:p>
        </w:tc>
        <w:tc>
          <w:tcPr>
            <w:tcW w:w="1895" w:type="dxa"/>
            <w:vAlign w:val="center"/>
          </w:tcPr>
          <w:p>
            <w:pPr>
              <w:widowControl/>
              <w:spacing w:line="240" w:lineRule="exact"/>
              <w:jc w:val="left"/>
              <w:textAlignment w:val="center"/>
              <w:rPr>
                <w:rFonts w:ascii="宋体" w:hAnsi="宋体" w:eastAsia="宋体" w:cs="宋体"/>
                <w:i/>
                <w:iCs/>
                <w:color w:val="000000"/>
                <w:kern w:val="0"/>
                <w:sz w:val="15"/>
                <w:szCs w:val="15"/>
              </w:rPr>
            </w:pPr>
            <w:r>
              <w:rPr>
                <w:rFonts w:hint="eastAsia" w:ascii="宋体" w:hAnsi="宋体" w:eastAsia="宋体" w:cs="黑体"/>
                <w:color w:val="000000"/>
                <w:kern w:val="0"/>
                <w:sz w:val="15"/>
                <w:szCs w:val="15"/>
                <w:lang w:bidi="ar"/>
              </w:rPr>
              <w:t>单台电解槽铝液电解交流电耗降低50</w:t>
            </w:r>
            <w:r>
              <w:rPr>
                <w:rFonts w:hint="eastAsia" w:ascii="宋体" w:hAnsi="宋体" w:eastAsia="宋体" w:cs="宋体"/>
                <w:color w:val="000000"/>
                <w:kern w:val="0"/>
                <w:sz w:val="15"/>
                <w:szCs w:val="15"/>
              </w:rPr>
              <w:t>(kwh/t</w:t>
            </w:r>
            <w:r>
              <w:rPr>
                <w:rFonts w:hint="eastAsia" w:ascii="宋体" w:hAnsi="宋体" w:eastAsia="宋体" w:cs="宋体"/>
                <w:color w:val="000000"/>
                <w:kern w:val="0"/>
                <w:sz w:val="15"/>
                <w:szCs w:val="15"/>
                <w:lang w:eastAsia="zh-CN"/>
              </w:rPr>
              <w:t>），</w:t>
            </w:r>
            <w:r>
              <w:rPr>
                <w:rFonts w:hint="eastAsia" w:ascii="宋体" w:hAnsi="宋体" w:eastAsia="宋体" w:cs="黑体"/>
                <w:color w:val="000000"/>
                <w:kern w:val="0"/>
                <w:sz w:val="15"/>
                <w:szCs w:val="15"/>
                <w:lang w:bidi="ar"/>
              </w:rPr>
              <w:t>10台电解槽全年公司铝液电解交流电耗</w:t>
            </w:r>
            <w:r>
              <w:rPr>
                <w:rFonts w:hint="eastAsia" w:ascii="宋体" w:hAnsi="宋体" w:eastAsia="宋体" w:cs="黑体"/>
                <w:color w:val="000000"/>
                <w:kern w:val="0"/>
                <w:sz w:val="15"/>
                <w:szCs w:val="15"/>
                <w:lang w:eastAsia="zh-CN" w:bidi="ar"/>
              </w:rPr>
              <w:t>下</w:t>
            </w:r>
            <w:r>
              <w:rPr>
                <w:rFonts w:hint="eastAsia" w:ascii="宋体" w:hAnsi="宋体" w:eastAsia="宋体" w:cs="黑体"/>
                <w:color w:val="000000"/>
                <w:kern w:val="0"/>
                <w:sz w:val="15"/>
                <w:szCs w:val="15"/>
                <w:lang w:bidi="ar"/>
              </w:rPr>
              <w:t>降4</w:t>
            </w:r>
            <w:r>
              <w:rPr>
                <w:rFonts w:hint="eastAsia" w:ascii="宋体" w:hAnsi="宋体" w:eastAsia="宋体" w:cs="黑体"/>
                <w:color w:val="000000"/>
                <w:kern w:val="0"/>
                <w:sz w:val="15"/>
                <w:szCs w:val="15"/>
                <w:lang w:eastAsia="zh-CN" w:bidi="ar"/>
              </w:rPr>
              <w:t>（</w:t>
            </w:r>
            <w:r>
              <w:rPr>
                <w:rFonts w:hint="eastAsia" w:ascii="宋体" w:hAnsi="宋体" w:eastAsia="宋体" w:cs="黑体"/>
                <w:color w:val="000000"/>
                <w:kern w:val="0"/>
                <w:sz w:val="15"/>
                <w:szCs w:val="15"/>
                <w:lang w:bidi="ar"/>
              </w:rPr>
              <w:t>kWh/t</w:t>
            </w:r>
            <w:r>
              <w:rPr>
                <w:rFonts w:hint="eastAsia" w:ascii="宋体" w:hAnsi="宋体" w:eastAsia="宋体" w:cs="黑体"/>
                <w:color w:val="000000"/>
                <w:kern w:val="0"/>
                <w:sz w:val="15"/>
                <w:szCs w:val="15"/>
                <w:lang w:eastAsia="zh-CN" w:bidi="ar"/>
              </w:rPr>
              <w:t>）</w:t>
            </w:r>
          </w:p>
        </w:tc>
        <w:tc>
          <w:tcPr>
            <w:tcW w:w="726" w:type="dxa"/>
            <w:vAlign w:val="center"/>
          </w:tcPr>
          <w:p>
            <w:pPr>
              <w:widowControl/>
              <w:spacing w:line="240" w:lineRule="exact"/>
              <w:jc w:val="center"/>
              <w:textAlignment w:val="center"/>
              <w:rPr>
                <w:rFonts w:ascii="宋体" w:hAnsi="宋体" w:eastAsia="宋体" w:cs="黑体"/>
                <w:color w:val="000000"/>
                <w:kern w:val="0"/>
                <w:sz w:val="15"/>
                <w:szCs w:val="15"/>
                <w:lang w:bidi="ar"/>
              </w:rPr>
            </w:pPr>
            <w:r>
              <w:rPr>
                <w:rFonts w:hint="eastAsia" w:ascii="宋体" w:hAnsi="宋体" w:eastAsia="宋体" w:cs="黑体"/>
                <w:color w:val="000000"/>
                <w:kern w:val="0"/>
                <w:sz w:val="15"/>
                <w:szCs w:val="15"/>
                <w:lang w:bidi="ar"/>
              </w:rPr>
              <w:t>升级</w:t>
            </w:r>
          </w:p>
          <w:p>
            <w:pPr>
              <w:widowControl/>
              <w:spacing w:line="240" w:lineRule="exact"/>
              <w:jc w:val="center"/>
              <w:textAlignment w:val="center"/>
              <w:rPr>
                <w:rFonts w:hint="eastAsia" w:ascii="宋体" w:hAnsi="宋体" w:eastAsia="宋体" w:cs="宋体"/>
                <w:color w:val="000000"/>
                <w:kern w:val="0"/>
                <w:sz w:val="15"/>
                <w:szCs w:val="15"/>
                <w:lang w:eastAsia="zh-CN"/>
              </w:rPr>
            </w:pPr>
            <w:r>
              <w:rPr>
                <w:rFonts w:hint="eastAsia" w:ascii="宋体" w:hAnsi="宋体" w:eastAsia="宋体" w:cs="黑体"/>
                <w:color w:val="000000"/>
                <w:kern w:val="0"/>
                <w:sz w:val="15"/>
                <w:szCs w:val="15"/>
                <w:lang w:bidi="ar"/>
              </w:rPr>
              <w:t>改造</w:t>
            </w:r>
            <w:r>
              <w:rPr>
                <w:rFonts w:hint="eastAsia" w:ascii="宋体" w:hAnsi="宋体" w:eastAsia="宋体" w:cs="黑体"/>
                <w:color w:val="000000"/>
                <w:kern w:val="0"/>
                <w:sz w:val="15"/>
                <w:szCs w:val="15"/>
                <w:lang w:eastAsia="zh-CN" w:bidi="ar"/>
              </w:rPr>
              <w:t>（</w:t>
            </w:r>
            <w:r>
              <w:rPr>
                <w:rFonts w:hint="eastAsia" w:ascii="宋体" w:hAnsi="宋体" w:eastAsia="宋体" w:cs="黑体"/>
                <w:color w:val="000000"/>
                <w:kern w:val="0"/>
                <w:sz w:val="15"/>
                <w:szCs w:val="15"/>
                <w:lang w:bidi="ar"/>
              </w:rPr>
              <w:t>试验</w:t>
            </w:r>
            <w:r>
              <w:rPr>
                <w:rFonts w:hint="eastAsia" w:ascii="宋体" w:hAnsi="宋体" w:eastAsia="宋体" w:cs="黑体"/>
                <w:color w:val="000000"/>
                <w:kern w:val="0"/>
                <w:sz w:val="15"/>
                <w:szCs w:val="15"/>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rPr>
            </w:pPr>
          </w:p>
        </w:tc>
        <w:tc>
          <w:tcPr>
            <w:tcW w:w="958" w:type="dxa"/>
            <w:vMerge w:val="continue"/>
            <w:vAlign w:val="center"/>
          </w:tcPr>
          <w:p>
            <w:pPr>
              <w:spacing w:line="240" w:lineRule="exact"/>
              <w:jc w:val="center"/>
              <w:textAlignment w:val="center"/>
              <w:rPr>
                <w:rFonts w:ascii="宋体" w:hAnsi="宋体" w:eastAsia="宋体" w:cs="宋体"/>
                <w:i/>
                <w:iCs/>
                <w:color w:val="000000"/>
                <w:kern w:val="0"/>
                <w:sz w:val="15"/>
                <w:szCs w:val="15"/>
              </w:rPr>
            </w:pPr>
          </w:p>
        </w:tc>
        <w:tc>
          <w:tcPr>
            <w:tcW w:w="1223" w:type="dxa"/>
            <w:vMerge w:val="continue"/>
            <w:vAlign w:val="center"/>
          </w:tcPr>
          <w:p>
            <w:pPr>
              <w:widowControl/>
              <w:spacing w:line="240" w:lineRule="exact"/>
              <w:jc w:val="center"/>
              <w:textAlignment w:val="center"/>
              <w:rPr>
                <w:rFonts w:hint="eastAsia" w:ascii="宋体" w:hAnsi="宋体" w:eastAsia="宋体" w:cs="黑体"/>
                <w:color w:val="000000"/>
                <w:kern w:val="0"/>
                <w:sz w:val="15"/>
                <w:szCs w:val="15"/>
                <w:lang w:bidi="ar"/>
              </w:rPr>
            </w:pPr>
          </w:p>
        </w:tc>
        <w:tc>
          <w:tcPr>
            <w:tcW w:w="888" w:type="dxa"/>
            <w:vMerge w:val="continue"/>
            <w:vAlign w:val="center"/>
          </w:tcPr>
          <w:p>
            <w:pPr>
              <w:widowControl/>
              <w:spacing w:line="240" w:lineRule="exact"/>
              <w:jc w:val="center"/>
              <w:textAlignment w:val="center"/>
              <w:rPr>
                <w:rFonts w:hint="eastAsia" w:ascii="宋体" w:hAnsi="宋体" w:eastAsia="宋体" w:cs="黑体"/>
                <w:color w:val="000000"/>
                <w:kern w:val="0"/>
                <w:sz w:val="15"/>
                <w:szCs w:val="15"/>
                <w:lang w:bidi="ar"/>
              </w:rPr>
            </w:pPr>
          </w:p>
        </w:tc>
        <w:tc>
          <w:tcPr>
            <w:tcW w:w="1179" w:type="dxa"/>
            <w:vAlign w:val="center"/>
          </w:tcPr>
          <w:p>
            <w:pPr>
              <w:widowControl/>
              <w:spacing w:line="240" w:lineRule="exact"/>
              <w:jc w:val="left"/>
              <w:textAlignment w:val="center"/>
              <w:rPr>
                <w:rFonts w:hint="eastAsia" w:ascii="宋体" w:hAnsi="宋体" w:eastAsia="宋体" w:cs="Arial"/>
                <w:kern w:val="0"/>
                <w:sz w:val="15"/>
                <w:szCs w:val="15"/>
                <w:lang w:val="en-US" w:eastAsia="zh-CN" w:bidi="ar-SA"/>
              </w:rPr>
            </w:pPr>
            <w:r>
              <w:rPr>
                <w:rFonts w:hint="eastAsia" w:ascii="宋体" w:hAnsi="宋体" w:eastAsia="宋体" w:cs="黑体"/>
                <w:color w:val="000000"/>
                <w:kern w:val="0"/>
                <w:sz w:val="15"/>
                <w:szCs w:val="15"/>
                <w:lang w:bidi="ar"/>
              </w:rPr>
              <w:t>电解槽半石墨化阴极磷生铁浇铸技术</w:t>
            </w:r>
          </w:p>
        </w:tc>
        <w:tc>
          <w:tcPr>
            <w:tcW w:w="819"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黑体"/>
                <w:color w:val="000000"/>
                <w:kern w:val="0"/>
                <w:sz w:val="15"/>
                <w:szCs w:val="15"/>
                <w:lang w:bidi="ar"/>
              </w:rPr>
              <w:t>32003</w:t>
            </w:r>
          </w:p>
        </w:tc>
        <w:tc>
          <w:tcPr>
            <w:tcW w:w="640"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黑体"/>
                <w:color w:val="000000"/>
                <w:kern w:val="0"/>
                <w:sz w:val="15"/>
                <w:szCs w:val="15"/>
                <w:lang w:bidi="ar"/>
              </w:rPr>
              <w:t>自筹</w:t>
            </w:r>
          </w:p>
        </w:tc>
        <w:tc>
          <w:tcPr>
            <w:tcW w:w="3833" w:type="dxa"/>
            <w:vAlign w:val="center"/>
          </w:tcPr>
          <w:p>
            <w:pPr>
              <w:widowControl/>
              <w:spacing w:line="24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黑体"/>
                <w:color w:val="000000"/>
                <w:kern w:val="0"/>
                <w:sz w:val="15"/>
                <w:szCs w:val="15"/>
                <w:lang w:bidi="ar"/>
              </w:rPr>
              <w:t>电解槽阴极采用磷生铁浇铸技术，阴极炭块使用50%石墨质材料。大幅降低电解槽阴极压降，使槽平均工作电压进一步降低。电解槽综合运行指标优于传统电解槽。</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2022年2月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2023年12月</w:t>
            </w:r>
          </w:p>
        </w:tc>
        <w:tc>
          <w:tcPr>
            <w:tcW w:w="1729" w:type="dxa"/>
            <w:vMerge w:val="continue"/>
            <w:vAlign w:val="center"/>
          </w:tcPr>
          <w:p>
            <w:pPr>
              <w:widowControl/>
              <w:spacing w:line="240" w:lineRule="exact"/>
              <w:jc w:val="center"/>
              <w:textAlignment w:val="center"/>
              <w:rPr>
                <w:rFonts w:hint="eastAsia" w:ascii="宋体" w:hAnsi="宋体" w:eastAsia="宋体" w:cs="宋体"/>
                <w:color w:val="000000"/>
                <w:kern w:val="0"/>
                <w:sz w:val="15"/>
                <w:szCs w:val="15"/>
              </w:rPr>
            </w:pPr>
          </w:p>
        </w:tc>
        <w:tc>
          <w:tcPr>
            <w:tcW w:w="1895" w:type="dxa"/>
            <w:vMerge w:val="restart"/>
            <w:vAlign w:val="center"/>
          </w:tcPr>
          <w:p>
            <w:pPr>
              <w:widowControl/>
              <w:spacing w:line="240" w:lineRule="exact"/>
              <w:jc w:val="center"/>
              <w:textAlignment w:val="center"/>
              <w:rPr>
                <w:rFonts w:hint="default" w:ascii="宋体" w:hAnsi="宋体" w:eastAsia="宋体" w:cs="黑体"/>
                <w:color w:val="000000"/>
                <w:kern w:val="0"/>
                <w:sz w:val="15"/>
                <w:szCs w:val="15"/>
                <w:lang w:val="en-US" w:eastAsia="zh-CN" w:bidi="ar"/>
              </w:rPr>
            </w:pPr>
            <w:r>
              <w:rPr>
                <w:rFonts w:hint="eastAsia" w:ascii="宋体" w:hAnsi="宋体" w:eastAsia="宋体" w:cs="黑体"/>
                <w:color w:val="000000"/>
                <w:kern w:val="0"/>
                <w:sz w:val="15"/>
                <w:szCs w:val="15"/>
                <w:lang w:bidi="ar"/>
              </w:rPr>
              <w:t>铝液电解交流电耗</w:t>
            </w:r>
            <w:r>
              <w:rPr>
                <w:rFonts w:hint="eastAsia" w:ascii="宋体" w:hAnsi="宋体" w:eastAsia="宋体" w:cs="黑体"/>
                <w:color w:val="000000"/>
                <w:kern w:val="0"/>
                <w:sz w:val="15"/>
                <w:szCs w:val="15"/>
                <w:lang w:val="en-US" w:eastAsia="zh-CN" w:bidi="ar"/>
              </w:rPr>
              <w:t>13044.25</w:t>
            </w:r>
            <w:r>
              <w:rPr>
                <w:rFonts w:hint="eastAsia" w:ascii="宋体" w:hAnsi="宋体" w:eastAsia="宋体" w:cs="黑体"/>
                <w:color w:val="000000"/>
                <w:kern w:val="0"/>
                <w:sz w:val="15"/>
                <w:szCs w:val="15"/>
                <w:lang w:eastAsia="zh-CN" w:bidi="ar"/>
              </w:rPr>
              <w:t>（</w:t>
            </w:r>
            <w:r>
              <w:rPr>
                <w:rFonts w:hint="eastAsia" w:ascii="宋体" w:hAnsi="宋体" w:eastAsia="宋体" w:cs="黑体"/>
                <w:color w:val="000000"/>
                <w:kern w:val="0"/>
                <w:sz w:val="15"/>
                <w:szCs w:val="15"/>
                <w:lang w:bidi="ar"/>
              </w:rPr>
              <w:t>kWh/t</w:t>
            </w:r>
            <w:r>
              <w:rPr>
                <w:rFonts w:hint="eastAsia" w:ascii="宋体" w:hAnsi="宋体" w:eastAsia="宋体" w:cs="黑体"/>
                <w:color w:val="000000"/>
                <w:kern w:val="0"/>
                <w:sz w:val="15"/>
                <w:szCs w:val="15"/>
                <w:lang w:eastAsia="zh-CN" w:bidi="ar"/>
              </w:rPr>
              <w:t>）</w:t>
            </w:r>
            <w:r>
              <w:rPr>
                <w:rFonts w:hint="eastAsia" w:ascii="宋体" w:hAnsi="宋体" w:eastAsia="宋体" w:cs="黑体"/>
                <w:color w:val="000000"/>
                <w:kern w:val="0"/>
                <w:sz w:val="15"/>
                <w:szCs w:val="15"/>
                <w:lang w:bidi="ar"/>
              </w:rPr>
              <w:t>（基准水平）</w:t>
            </w:r>
          </w:p>
        </w:tc>
        <w:tc>
          <w:tcPr>
            <w:tcW w:w="726" w:type="dxa"/>
            <w:vAlign w:val="center"/>
          </w:tcPr>
          <w:p>
            <w:pPr>
              <w:widowControl/>
              <w:spacing w:line="240" w:lineRule="exact"/>
              <w:jc w:val="center"/>
              <w:textAlignment w:val="center"/>
              <w:rPr>
                <w:rFonts w:ascii="宋体" w:hAnsi="宋体" w:eastAsia="宋体" w:cs="黑体"/>
                <w:color w:val="000000"/>
                <w:kern w:val="0"/>
                <w:sz w:val="15"/>
                <w:szCs w:val="15"/>
                <w:lang w:bidi="ar"/>
              </w:rPr>
            </w:pPr>
            <w:r>
              <w:rPr>
                <w:rFonts w:hint="eastAsia" w:ascii="宋体" w:hAnsi="宋体" w:eastAsia="宋体" w:cs="黑体"/>
                <w:color w:val="000000"/>
                <w:kern w:val="0"/>
                <w:sz w:val="15"/>
                <w:szCs w:val="15"/>
                <w:lang w:bidi="ar"/>
              </w:rPr>
              <w:t>升级</w:t>
            </w:r>
          </w:p>
          <w:p>
            <w:pPr>
              <w:widowControl/>
              <w:spacing w:line="240" w:lineRule="exact"/>
              <w:jc w:val="center"/>
              <w:textAlignment w:val="center"/>
              <w:rPr>
                <w:rFonts w:hint="eastAsia" w:ascii="宋体" w:hAnsi="宋体" w:eastAsia="宋体" w:cs="黑体"/>
                <w:color w:val="000000"/>
                <w:kern w:val="0"/>
                <w:sz w:val="15"/>
                <w:szCs w:val="15"/>
                <w:lang w:bidi="ar"/>
              </w:rPr>
            </w:pPr>
            <w:r>
              <w:rPr>
                <w:rFonts w:hint="eastAsia" w:ascii="宋体" w:hAnsi="宋体" w:eastAsia="宋体" w:cs="黑体"/>
                <w:color w:val="000000"/>
                <w:kern w:val="0"/>
                <w:sz w:val="15"/>
                <w:szCs w:val="15"/>
                <w:lang w:bidi="ar"/>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rPr>
            </w:pPr>
          </w:p>
        </w:tc>
        <w:tc>
          <w:tcPr>
            <w:tcW w:w="958" w:type="dxa"/>
            <w:vMerge w:val="continue"/>
            <w:vAlign w:val="center"/>
          </w:tcPr>
          <w:p>
            <w:pPr>
              <w:spacing w:line="240" w:lineRule="exact"/>
              <w:jc w:val="center"/>
              <w:textAlignment w:val="center"/>
              <w:rPr>
                <w:rFonts w:ascii="宋体" w:hAnsi="宋体" w:eastAsia="宋体" w:cs="宋体"/>
                <w:i/>
                <w:iCs/>
                <w:color w:val="000000"/>
                <w:kern w:val="0"/>
                <w:sz w:val="15"/>
                <w:szCs w:val="15"/>
              </w:rPr>
            </w:pPr>
          </w:p>
        </w:tc>
        <w:tc>
          <w:tcPr>
            <w:tcW w:w="1223" w:type="dxa"/>
            <w:vMerge w:val="continue"/>
            <w:vAlign w:val="center"/>
          </w:tcPr>
          <w:p>
            <w:pPr>
              <w:widowControl/>
              <w:spacing w:line="240" w:lineRule="exact"/>
              <w:jc w:val="center"/>
              <w:textAlignment w:val="center"/>
              <w:rPr>
                <w:rFonts w:hint="eastAsia" w:ascii="宋体" w:hAnsi="宋体" w:eastAsia="宋体" w:cs="黑体"/>
                <w:color w:val="000000"/>
                <w:kern w:val="0"/>
                <w:sz w:val="15"/>
                <w:szCs w:val="15"/>
                <w:lang w:bidi="ar"/>
              </w:rPr>
            </w:pPr>
          </w:p>
        </w:tc>
        <w:tc>
          <w:tcPr>
            <w:tcW w:w="888" w:type="dxa"/>
            <w:vMerge w:val="continue"/>
            <w:vAlign w:val="center"/>
          </w:tcPr>
          <w:p>
            <w:pPr>
              <w:widowControl/>
              <w:spacing w:line="240" w:lineRule="exact"/>
              <w:jc w:val="center"/>
              <w:textAlignment w:val="center"/>
              <w:rPr>
                <w:rFonts w:hint="eastAsia" w:ascii="宋体" w:hAnsi="宋体" w:eastAsia="宋体" w:cs="黑体"/>
                <w:color w:val="000000"/>
                <w:kern w:val="0"/>
                <w:sz w:val="15"/>
                <w:szCs w:val="15"/>
                <w:lang w:bidi="ar"/>
              </w:rPr>
            </w:pPr>
          </w:p>
        </w:tc>
        <w:tc>
          <w:tcPr>
            <w:tcW w:w="1179" w:type="dxa"/>
            <w:vAlign w:val="center"/>
          </w:tcPr>
          <w:p>
            <w:pPr>
              <w:widowControl/>
              <w:spacing w:line="240" w:lineRule="exact"/>
              <w:jc w:val="left"/>
              <w:textAlignment w:val="center"/>
              <w:rPr>
                <w:rFonts w:hint="eastAsia" w:ascii="宋体" w:hAnsi="宋体" w:eastAsia="宋体" w:cs="Arial"/>
                <w:kern w:val="0"/>
                <w:sz w:val="15"/>
                <w:szCs w:val="15"/>
                <w:lang w:val="en-US" w:eastAsia="zh-CN" w:bidi="ar-SA"/>
              </w:rPr>
            </w:pPr>
            <w:r>
              <w:rPr>
                <w:rFonts w:hint="eastAsia" w:ascii="宋体" w:hAnsi="宋体" w:eastAsia="宋体" w:cs="黑体"/>
                <w:color w:val="000000"/>
                <w:kern w:val="0"/>
                <w:sz w:val="15"/>
                <w:szCs w:val="15"/>
                <w:lang w:bidi="ar"/>
              </w:rPr>
              <w:t>电解槽燃气焙烧</w:t>
            </w:r>
          </w:p>
        </w:tc>
        <w:tc>
          <w:tcPr>
            <w:tcW w:w="819"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黑体"/>
                <w:color w:val="000000"/>
                <w:kern w:val="0"/>
                <w:sz w:val="15"/>
                <w:szCs w:val="15"/>
                <w:lang w:bidi="ar"/>
              </w:rPr>
              <w:t>510</w:t>
            </w:r>
          </w:p>
        </w:tc>
        <w:tc>
          <w:tcPr>
            <w:tcW w:w="640"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黑体"/>
                <w:color w:val="000000"/>
                <w:kern w:val="0"/>
                <w:sz w:val="15"/>
                <w:szCs w:val="15"/>
                <w:lang w:bidi="ar"/>
              </w:rPr>
              <w:t>自筹</w:t>
            </w:r>
          </w:p>
        </w:tc>
        <w:tc>
          <w:tcPr>
            <w:tcW w:w="3833" w:type="dxa"/>
            <w:vAlign w:val="center"/>
          </w:tcPr>
          <w:p>
            <w:pPr>
              <w:widowControl/>
              <w:spacing w:line="24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黑体"/>
                <w:color w:val="000000"/>
                <w:kern w:val="0"/>
                <w:sz w:val="15"/>
                <w:szCs w:val="15"/>
                <w:lang w:bidi="ar"/>
              </w:rPr>
              <w:t>利用燃气焙烧法对大修新启动电解槽进行焙烧。一是把电解槽四天的通电焙烧期由燃气焙烧替代。节约焙烧期四天的用电量，降低电解槽启动电量，从而降低铝液综合交流电耗；二是电解槽利用燃气焙烧后，槽内温度分布均匀，在焙烧期间阳极无偏流情况发生。而且可以实现电解槽无效应启动，尽可能避免和减小高温对槽内衬的热冲击，使电解槽能尽快转入正常生产。</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2022年12月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2023年12月</w:t>
            </w:r>
          </w:p>
        </w:tc>
        <w:tc>
          <w:tcPr>
            <w:tcW w:w="1729" w:type="dxa"/>
            <w:vMerge w:val="continue"/>
            <w:vAlign w:val="center"/>
          </w:tcPr>
          <w:p>
            <w:pPr>
              <w:widowControl/>
              <w:spacing w:line="240" w:lineRule="exact"/>
              <w:jc w:val="center"/>
              <w:textAlignment w:val="center"/>
              <w:rPr>
                <w:rFonts w:hint="eastAsia" w:ascii="宋体" w:hAnsi="宋体" w:eastAsia="宋体" w:cs="宋体"/>
                <w:color w:val="000000"/>
                <w:kern w:val="0"/>
                <w:sz w:val="15"/>
                <w:szCs w:val="15"/>
              </w:rPr>
            </w:pPr>
          </w:p>
        </w:tc>
        <w:tc>
          <w:tcPr>
            <w:tcW w:w="1895" w:type="dxa"/>
            <w:vMerge w:val="continue"/>
            <w:vAlign w:val="center"/>
          </w:tcPr>
          <w:p>
            <w:pPr>
              <w:widowControl/>
              <w:spacing w:line="240" w:lineRule="exact"/>
              <w:jc w:val="left"/>
              <w:textAlignment w:val="center"/>
              <w:rPr>
                <w:rFonts w:hint="eastAsia" w:ascii="宋体" w:hAnsi="宋体" w:eastAsia="宋体" w:cs="黑体"/>
                <w:color w:val="FF0000"/>
                <w:kern w:val="0"/>
                <w:sz w:val="15"/>
                <w:szCs w:val="15"/>
                <w:lang w:val="en-US" w:eastAsia="zh-CN" w:bidi="ar"/>
              </w:rPr>
            </w:pPr>
          </w:p>
        </w:tc>
        <w:tc>
          <w:tcPr>
            <w:tcW w:w="726" w:type="dxa"/>
            <w:vAlign w:val="center"/>
          </w:tcPr>
          <w:p>
            <w:pPr>
              <w:widowControl/>
              <w:spacing w:line="240" w:lineRule="exact"/>
              <w:jc w:val="center"/>
              <w:textAlignment w:val="center"/>
              <w:rPr>
                <w:rFonts w:ascii="宋体" w:hAnsi="宋体" w:eastAsia="宋体" w:cs="黑体"/>
                <w:color w:val="000000"/>
                <w:kern w:val="0"/>
                <w:sz w:val="15"/>
                <w:szCs w:val="15"/>
                <w:lang w:bidi="ar"/>
              </w:rPr>
            </w:pPr>
            <w:r>
              <w:rPr>
                <w:rFonts w:hint="eastAsia" w:ascii="宋体" w:hAnsi="宋体" w:eastAsia="宋体" w:cs="黑体"/>
                <w:color w:val="000000"/>
                <w:kern w:val="0"/>
                <w:sz w:val="15"/>
                <w:szCs w:val="15"/>
                <w:lang w:bidi="ar"/>
              </w:rPr>
              <w:t>升级</w:t>
            </w:r>
          </w:p>
          <w:p>
            <w:pPr>
              <w:widowControl/>
              <w:spacing w:line="240" w:lineRule="exact"/>
              <w:jc w:val="center"/>
              <w:textAlignment w:val="center"/>
              <w:rPr>
                <w:rFonts w:hint="eastAsia" w:ascii="宋体" w:hAnsi="宋体" w:eastAsia="宋体" w:cs="黑体"/>
                <w:color w:val="000000"/>
                <w:kern w:val="0"/>
                <w:sz w:val="15"/>
                <w:szCs w:val="15"/>
                <w:lang w:bidi="ar"/>
              </w:rPr>
            </w:pPr>
            <w:r>
              <w:rPr>
                <w:rFonts w:hint="eastAsia" w:ascii="宋体" w:hAnsi="宋体" w:eastAsia="宋体" w:cs="黑体"/>
                <w:color w:val="000000"/>
                <w:kern w:val="0"/>
                <w:sz w:val="15"/>
                <w:szCs w:val="15"/>
                <w:lang w:bidi="ar"/>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8" w:type="dxa"/>
            <w:vMerge w:val="continue"/>
            <w:vAlign w:val="center"/>
          </w:tcPr>
          <w:p>
            <w:pPr>
              <w:widowControl/>
              <w:spacing w:line="240" w:lineRule="exact"/>
              <w:jc w:val="center"/>
              <w:textAlignment w:val="center"/>
              <w:rPr>
                <w:rFonts w:ascii="宋体" w:hAnsi="宋体" w:eastAsia="宋体" w:cs="宋体"/>
                <w:kern w:val="0"/>
                <w:sz w:val="15"/>
                <w:szCs w:val="15"/>
              </w:rPr>
            </w:pPr>
          </w:p>
        </w:tc>
        <w:tc>
          <w:tcPr>
            <w:tcW w:w="958" w:type="dxa"/>
            <w:vMerge w:val="continue"/>
            <w:vAlign w:val="center"/>
          </w:tcPr>
          <w:p>
            <w:pPr>
              <w:spacing w:line="240" w:lineRule="exact"/>
              <w:jc w:val="center"/>
              <w:textAlignment w:val="center"/>
              <w:rPr>
                <w:rFonts w:ascii="宋体" w:hAnsi="宋体" w:eastAsia="宋体" w:cs="宋体"/>
                <w:i/>
                <w:iCs/>
                <w:color w:val="000000"/>
                <w:kern w:val="0"/>
                <w:sz w:val="15"/>
                <w:szCs w:val="15"/>
              </w:rPr>
            </w:pPr>
          </w:p>
        </w:tc>
        <w:tc>
          <w:tcPr>
            <w:tcW w:w="1223" w:type="dxa"/>
            <w:vMerge w:val="continue"/>
            <w:vAlign w:val="center"/>
          </w:tcPr>
          <w:p>
            <w:pPr>
              <w:widowControl/>
              <w:spacing w:line="240" w:lineRule="exact"/>
              <w:jc w:val="left"/>
              <w:textAlignment w:val="center"/>
              <w:rPr>
                <w:rFonts w:ascii="宋体" w:hAnsi="宋体" w:eastAsia="宋体" w:cs="宋体"/>
                <w:sz w:val="15"/>
                <w:szCs w:val="15"/>
              </w:rPr>
            </w:pPr>
          </w:p>
        </w:tc>
        <w:tc>
          <w:tcPr>
            <w:tcW w:w="888" w:type="dxa"/>
            <w:vMerge w:val="continue"/>
            <w:vAlign w:val="center"/>
          </w:tcPr>
          <w:p>
            <w:pPr>
              <w:widowControl/>
              <w:spacing w:line="240" w:lineRule="exact"/>
              <w:jc w:val="center"/>
              <w:textAlignment w:val="center"/>
              <w:rPr>
                <w:rFonts w:ascii="宋体" w:hAnsi="宋体" w:eastAsia="宋体" w:cs="宋体"/>
                <w:sz w:val="15"/>
                <w:szCs w:val="15"/>
              </w:rPr>
            </w:pPr>
          </w:p>
        </w:tc>
        <w:tc>
          <w:tcPr>
            <w:tcW w:w="1179" w:type="dxa"/>
            <w:vAlign w:val="center"/>
          </w:tcPr>
          <w:p>
            <w:pPr>
              <w:widowControl/>
              <w:spacing w:line="240" w:lineRule="exact"/>
              <w:jc w:val="left"/>
              <w:textAlignment w:val="center"/>
              <w:rPr>
                <w:rFonts w:hint="eastAsia" w:ascii="宋体" w:hAnsi="宋体" w:eastAsia="宋体" w:cs="宋体"/>
                <w:w w:val="90"/>
                <w:sz w:val="15"/>
                <w:szCs w:val="15"/>
              </w:rPr>
            </w:pPr>
            <w:r>
              <w:rPr>
                <w:rFonts w:hint="eastAsia" w:ascii="宋体" w:hAnsi="宋体" w:eastAsia="宋体" w:cs="宋体"/>
                <w:w w:val="90"/>
                <w:sz w:val="15"/>
                <w:szCs w:val="15"/>
              </w:rPr>
              <w:t>330</w:t>
            </w:r>
            <w:r>
              <w:rPr>
                <w:rFonts w:hint="default" w:ascii="宋体" w:hAnsi="宋体" w:eastAsia="宋体" w:cs="宋体"/>
                <w:w w:val="90"/>
                <w:sz w:val="15"/>
                <w:szCs w:val="15"/>
              </w:rPr>
              <w:t>系列母</w:t>
            </w:r>
            <w:r>
              <w:rPr>
                <w:rFonts w:hint="eastAsia" w:ascii="宋体" w:hAnsi="宋体" w:eastAsia="宋体" w:cs="宋体"/>
                <w:w w:val="90"/>
                <w:sz w:val="15"/>
                <w:szCs w:val="15"/>
              </w:rPr>
              <w:t>线</w:t>
            </w:r>
            <w:r>
              <w:rPr>
                <w:rFonts w:hint="default" w:ascii="宋体" w:hAnsi="宋体" w:eastAsia="宋体" w:cs="宋体"/>
                <w:w w:val="90"/>
                <w:sz w:val="15"/>
                <w:szCs w:val="15"/>
              </w:rPr>
              <w:t>优化</w:t>
            </w:r>
            <w:r>
              <w:rPr>
                <w:rFonts w:hint="eastAsia" w:ascii="宋体" w:hAnsi="宋体" w:eastAsia="宋体" w:cs="宋体"/>
                <w:w w:val="90"/>
                <w:sz w:val="15"/>
                <w:szCs w:val="15"/>
              </w:rPr>
              <w:t>及</w:t>
            </w:r>
            <w:r>
              <w:rPr>
                <w:rFonts w:hint="default" w:ascii="宋体" w:hAnsi="宋体" w:eastAsia="宋体" w:cs="宋体"/>
                <w:w w:val="90"/>
                <w:sz w:val="15"/>
                <w:szCs w:val="15"/>
              </w:rPr>
              <w:t>磁流体稳定性提升技术研究及应用（补偿母线项目）</w:t>
            </w:r>
          </w:p>
        </w:tc>
        <w:tc>
          <w:tcPr>
            <w:tcW w:w="819" w:type="dxa"/>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黑体"/>
                <w:color w:val="000000"/>
                <w:kern w:val="0"/>
                <w:sz w:val="15"/>
                <w:szCs w:val="15"/>
                <w:lang w:bidi="ar"/>
              </w:rPr>
              <w:t>9500</w:t>
            </w:r>
          </w:p>
        </w:tc>
        <w:tc>
          <w:tcPr>
            <w:tcW w:w="640" w:type="dxa"/>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黑体"/>
                <w:color w:val="000000"/>
                <w:kern w:val="0"/>
                <w:sz w:val="15"/>
                <w:szCs w:val="15"/>
                <w:lang w:bidi="ar"/>
              </w:rPr>
              <w:t>自筹</w:t>
            </w:r>
          </w:p>
        </w:tc>
        <w:tc>
          <w:tcPr>
            <w:tcW w:w="3833" w:type="dxa"/>
            <w:vAlign w:val="center"/>
          </w:tcPr>
          <w:p>
            <w:pPr>
              <w:widowControl/>
              <w:spacing w:line="240" w:lineRule="exact"/>
              <w:jc w:val="left"/>
              <w:textAlignment w:val="center"/>
              <w:rPr>
                <w:rFonts w:ascii="宋体" w:hAnsi="宋体" w:eastAsia="宋体" w:cs="宋体"/>
                <w:sz w:val="15"/>
                <w:szCs w:val="15"/>
              </w:rPr>
            </w:pPr>
            <w:r>
              <w:rPr>
                <w:rFonts w:hint="eastAsia" w:ascii="宋体" w:hAnsi="宋体" w:eastAsia="宋体" w:cs="黑体"/>
                <w:color w:val="000000"/>
                <w:kern w:val="0"/>
                <w:sz w:val="15"/>
                <w:szCs w:val="15"/>
                <w:lang w:bidi="ar"/>
              </w:rPr>
              <w:t>对330I、II系列增加补偿机组及补偿母线，使电解槽磁场结果及分布更均，对电解槽的稳定生产和降低吨铝直流电耗很有意义。</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2023年1月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2024年12月</w:t>
            </w:r>
          </w:p>
        </w:tc>
        <w:tc>
          <w:tcPr>
            <w:tcW w:w="1729" w:type="dxa"/>
            <w:vMerge w:val="continue"/>
            <w:vAlign w:val="center"/>
          </w:tcPr>
          <w:p>
            <w:pPr>
              <w:widowControl/>
              <w:spacing w:line="240" w:lineRule="exact"/>
              <w:jc w:val="center"/>
              <w:textAlignment w:val="center"/>
              <w:rPr>
                <w:rFonts w:ascii="宋体" w:hAnsi="宋体" w:eastAsia="宋体" w:cs="宋体"/>
                <w:color w:val="000000"/>
                <w:kern w:val="0"/>
                <w:sz w:val="15"/>
                <w:szCs w:val="15"/>
              </w:rPr>
            </w:pPr>
          </w:p>
        </w:tc>
        <w:tc>
          <w:tcPr>
            <w:tcW w:w="1895" w:type="dxa"/>
            <w:vMerge w:val="continue"/>
            <w:vAlign w:val="center"/>
          </w:tcPr>
          <w:p>
            <w:pPr>
              <w:widowControl/>
              <w:spacing w:line="240" w:lineRule="exact"/>
              <w:jc w:val="left"/>
              <w:textAlignment w:val="center"/>
              <w:rPr>
                <w:rFonts w:ascii="宋体" w:hAnsi="宋体" w:eastAsia="宋体" w:cs="宋体"/>
                <w:i/>
                <w:iCs/>
                <w:color w:val="000000"/>
                <w:kern w:val="0"/>
                <w:sz w:val="15"/>
                <w:szCs w:val="15"/>
              </w:rPr>
            </w:pPr>
          </w:p>
        </w:tc>
        <w:tc>
          <w:tcPr>
            <w:tcW w:w="726" w:type="dxa"/>
            <w:vAlign w:val="center"/>
          </w:tcPr>
          <w:p>
            <w:pPr>
              <w:widowControl/>
              <w:spacing w:line="240" w:lineRule="exact"/>
              <w:jc w:val="center"/>
              <w:textAlignment w:val="center"/>
              <w:rPr>
                <w:rFonts w:ascii="宋体" w:hAnsi="宋体" w:eastAsia="宋体" w:cs="黑体"/>
                <w:color w:val="000000"/>
                <w:kern w:val="0"/>
                <w:sz w:val="15"/>
                <w:szCs w:val="15"/>
                <w:lang w:bidi="ar"/>
              </w:rPr>
            </w:pPr>
            <w:r>
              <w:rPr>
                <w:rFonts w:hint="eastAsia" w:ascii="宋体" w:hAnsi="宋体" w:eastAsia="宋体" w:cs="黑体"/>
                <w:color w:val="000000"/>
                <w:kern w:val="0"/>
                <w:sz w:val="15"/>
                <w:szCs w:val="15"/>
                <w:lang w:bidi="ar"/>
              </w:rPr>
              <w:t>升级</w:t>
            </w:r>
          </w:p>
          <w:p>
            <w:pPr>
              <w:widowControl/>
              <w:spacing w:line="240" w:lineRule="exact"/>
              <w:jc w:val="center"/>
              <w:textAlignment w:val="center"/>
              <w:rPr>
                <w:rFonts w:ascii="宋体" w:hAnsi="宋体" w:eastAsia="宋体" w:cs="宋体"/>
                <w:color w:val="000000"/>
                <w:kern w:val="0"/>
                <w:sz w:val="15"/>
                <w:szCs w:val="15"/>
              </w:rPr>
            </w:pPr>
            <w:r>
              <w:rPr>
                <w:rFonts w:hint="eastAsia" w:ascii="宋体" w:hAnsi="宋体" w:eastAsia="宋体" w:cs="黑体"/>
                <w:color w:val="000000"/>
                <w:kern w:val="0"/>
                <w:sz w:val="15"/>
                <w:szCs w:val="15"/>
                <w:lang w:bidi="ar"/>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378" w:type="dxa"/>
            <w:vMerge w:val="continue"/>
            <w:vAlign w:val="center"/>
          </w:tcPr>
          <w:p>
            <w:pPr>
              <w:widowControl/>
              <w:spacing w:line="240" w:lineRule="exact"/>
              <w:jc w:val="center"/>
              <w:textAlignment w:val="center"/>
              <w:rPr>
                <w:rFonts w:ascii="宋体" w:hAnsi="宋体" w:eastAsia="宋体" w:cs="宋体"/>
                <w:kern w:val="0"/>
                <w:sz w:val="15"/>
                <w:szCs w:val="15"/>
              </w:rPr>
            </w:pPr>
          </w:p>
        </w:tc>
        <w:tc>
          <w:tcPr>
            <w:tcW w:w="958" w:type="dxa"/>
            <w:vMerge w:val="continue"/>
            <w:vAlign w:val="center"/>
          </w:tcPr>
          <w:p>
            <w:pPr>
              <w:spacing w:line="240" w:lineRule="exact"/>
              <w:jc w:val="center"/>
              <w:textAlignment w:val="center"/>
              <w:rPr>
                <w:rFonts w:ascii="宋体" w:hAnsi="宋体" w:eastAsia="宋体" w:cs="宋体"/>
                <w:i/>
                <w:iCs/>
                <w:color w:val="000000"/>
                <w:kern w:val="0"/>
                <w:sz w:val="15"/>
                <w:szCs w:val="15"/>
              </w:rPr>
            </w:pPr>
          </w:p>
        </w:tc>
        <w:tc>
          <w:tcPr>
            <w:tcW w:w="1223" w:type="dxa"/>
            <w:vMerge w:val="continue"/>
            <w:vAlign w:val="center"/>
          </w:tcPr>
          <w:p>
            <w:pPr>
              <w:widowControl/>
              <w:spacing w:line="240" w:lineRule="exact"/>
              <w:jc w:val="left"/>
              <w:textAlignment w:val="center"/>
              <w:rPr>
                <w:rFonts w:ascii="宋体" w:hAnsi="宋体" w:eastAsia="宋体" w:cs="宋体"/>
                <w:sz w:val="15"/>
                <w:szCs w:val="15"/>
              </w:rPr>
            </w:pPr>
          </w:p>
        </w:tc>
        <w:tc>
          <w:tcPr>
            <w:tcW w:w="888" w:type="dxa"/>
            <w:vMerge w:val="continue"/>
            <w:vAlign w:val="center"/>
          </w:tcPr>
          <w:p>
            <w:pPr>
              <w:widowControl/>
              <w:spacing w:line="240" w:lineRule="exact"/>
              <w:jc w:val="center"/>
              <w:textAlignment w:val="center"/>
              <w:rPr>
                <w:rFonts w:ascii="宋体" w:hAnsi="宋体" w:eastAsia="宋体" w:cs="宋体"/>
                <w:sz w:val="15"/>
                <w:szCs w:val="15"/>
              </w:rPr>
            </w:pPr>
          </w:p>
        </w:tc>
        <w:tc>
          <w:tcPr>
            <w:tcW w:w="1179" w:type="dxa"/>
            <w:vAlign w:val="center"/>
          </w:tcPr>
          <w:p>
            <w:pPr>
              <w:widowControl/>
              <w:spacing w:line="240" w:lineRule="exact"/>
              <w:jc w:val="left"/>
              <w:textAlignment w:val="center"/>
              <w:rPr>
                <w:rFonts w:hint="eastAsia" w:ascii="宋体" w:hAnsi="宋体" w:eastAsia="宋体" w:cs="Arial"/>
                <w:kern w:val="0"/>
                <w:sz w:val="15"/>
                <w:szCs w:val="15"/>
                <w:lang w:val="en-US" w:eastAsia="zh-CN" w:bidi="ar-SA"/>
              </w:rPr>
            </w:pPr>
            <w:r>
              <w:rPr>
                <w:rFonts w:hint="eastAsia" w:ascii="宋体" w:hAnsi="宋体" w:eastAsia="宋体" w:cs="黑体"/>
                <w:color w:val="000000"/>
                <w:kern w:val="0"/>
                <w:sz w:val="15"/>
                <w:szCs w:val="15"/>
                <w:lang w:bidi="ar"/>
              </w:rPr>
              <w:t>净化车间北厂三四净化排烟系统整体优化节能技术改造项目</w:t>
            </w:r>
          </w:p>
        </w:tc>
        <w:tc>
          <w:tcPr>
            <w:tcW w:w="819"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黑体"/>
                <w:color w:val="000000"/>
                <w:kern w:val="0"/>
                <w:sz w:val="15"/>
                <w:szCs w:val="15"/>
                <w:lang w:bidi="ar"/>
              </w:rPr>
              <w:t>381</w:t>
            </w:r>
          </w:p>
        </w:tc>
        <w:tc>
          <w:tcPr>
            <w:tcW w:w="640" w:type="dxa"/>
            <w:vAlign w:val="center"/>
          </w:tcPr>
          <w:p>
            <w:pPr>
              <w:widowControl/>
              <w:spacing w:line="240" w:lineRule="exact"/>
              <w:jc w:val="left"/>
              <w:textAlignment w:val="center"/>
              <w:rPr>
                <w:rFonts w:hint="eastAsia" w:ascii="宋体" w:hAnsi="宋体" w:eastAsia="宋体" w:cs="宋体"/>
                <w:w w:val="90"/>
                <w:sz w:val="15"/>
                <w:szCs w:val="15"/>
                <w:lang w:val="en-US" w:eastAsia="zh-CN"/>
              </w:rPr>
            </w:pPr>
            <w:r>
              <w:rPr>
                <w:rFonts w:hint="eastAsia" w:ascii="宋体" w:hAnsi="宋体" w:eastAsia="宋体" w:cs="宋体"/>
                <w:w w:val="90"/>
                <w:sz w:val="15"/>
                <w:szCs w:val="15"/>
              </w:rPr>
              <w:t>第三方筹资（EMC项目）</w:t>
            </w:r>
          </w:p>
        </w:tc>
        <w:tc>
          <w:tcPr>
            <w:tcW w:w="3833" w:type="dxa"/>
            <w:vAlign w:val="center"/>
          </w:tcPr>
          <w:p>
            <w:pPr>
              <w:widowControl/>
              <w:spacing w:line="24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黑体"/>
                <w:color w:val="000000"/>
                <w:kern w:val="0"/>
                <w:sz w:val="15"/>
                <w:szCs w:val="15"/>
                <w:lang w:bidi="ar"/>
              </w:rPr>
              <w:t>（1）6台排烟风机高效能改造；（2）除尘器12套一投料器及12套二次投料器改造；（3）排烟管路换热器旁增加旁通烟道；（4）20套破损反应器修复。</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2021年12月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2022年7月</w:t>
            </w:r>
          </w:p>
        </w:tc>
        <w:tc>
          <w:tcPr>
            <w:tcW w:w="1729" w:type="dxa"/>
            <w:vMerge w:val="continue"/>
            <w:vAlign w:val="center"/>
          </w:tcPr>
          <w:p>
            <w:pPr>
              <w:widowControl/>
              <w:spacing w:line="240" w:lineRule="exact"/>
              <w:jc w:val="center"/>
              <w:textAlignment w:val="center"/>
              <w:rPr>
                <w:rFonts w:ascii="宋体" w:hAnsi="宋体" w:eastAsia="宋体" w:cs="宋体"/>
                <w:color w:val="000000"/>
                <w:kern w:val="0"/>
                <w:sz w:val="15"/>
                <w:szCs w:val="15"/>
              </w:rPr>
            </w:pPr>
          </w:p>
        </w:tc>
        <w:tc>
          <w:tcPr>
            <w:tcW w:w="1895" w:type="dxa"/>
            <w:vAlign w:val="center"/>
          </w:tcPr>
          <w:p>
            <w:pPr>
              <w:widowControl/>
              <w:spacing w:line="240" w:lineRule="exact"/>
              <w:jc w:val="center"/>
              <w:textAlignment w:val="center"/>
              <w:rPr>
                <w:rFonts w:hint="eastAsia" w:ascii="宋体" w:hAnsi="宋体" w:eastAsia="宋体" w:cs="宋体"/>
                <w:i/>
                <w:iCs/>
                <w:color w:val="000000"/>
                <w:kern w:val="0"/>
                <w:sz w:val="15"/>
                <w:szCs w:val="15"/>
                <w:lang w:val="en-US" w:eastAsia="zh-CN" w:bidi="ar-SA"/>
              </w:rPr>
            </w:pPr>
            <w:r>
              <w:rPr>
                <w:rFonts w:hint="eastAsia" w:ascii="宋体" w:hAnsi="宋体" w:eastAsia="宋体" w:cs="黑体"/>
                <w:color w:val="000000"/>
                <w:kern w:val="0"/>
                <w:sz w:val="15"/>
                <w:szCs w:val="15"/>
                <w:lang w:bidi="ar"/>
              </w:rPr>
              <w:t>排烟风机辅助动力电耗下降至约164</w:t>
            </w:r>
            <w:r>
              <w:rPr>
                <w:rFonts w:hint="eastAsia" w:ascii="宋体" w:hAnsi="宋体" w:eastAsia="宋体" w:cs="黑体"/>
                <w:color w:val="000000"/>
                <w:kern w:val="0"/>
                <w:sz w:val="15"/>
                <w:szCs w:val="15"/>
                <w:lang w:eastAsia="zh-CN" w:bidi="ar"/>
              </w:rPr>
              <w:t>（</w:t>
            </w:r>
            <w:r>
              <w:rPr>
                <w:rFonts w:hint="eastAsia" w:ascii="宋体" w:hAnsi="宋体" w:eastAsia="宋体" w:cs="黑体"/>
                <w:color w:val="000000"/>
                <w:kern w:val="0"/>
                <w:sz w:val="15"/>
                <w:szCs w:val="15"/>
                <w:lang w:bidi="ar"/>
              </w:rPr>
              <w:t>kWh/t</w:t>
            </w:r>
            <w:r>
              <w:rPr>
                <w:rFonts w:hint="eastAsia" w:ascii="宋体" w:hAnsi="宋体" w:eastAsia="宋体" w:cs="黑体"/>
                <w:color w:val="000000"/>
                <w:kern w:val="0"/>
                <w:sz w:val="15"/>
                <w:szCs w:val="15"/>
                <w:lang w:eastAsia="zh-CN" w:bidi="ar"/>
              </w:rPr>
              <w:t>）</w:t>
            </w:r>
          </w:p>
        </w:tc>
        <w:tc>
          <w:tcPr>
            <w:tcW w:w="726" w:type="dxa"/>
            <w:vAlign w:val="center"/>
          </w:tcPr>
          <w:p>
            <w:pPr>
              <w:widowControl/>
              <w:spacing w:line="240" w:lineRule="exact"/>
              <w:jc w:val="center"/>
              <w:textAlignment w:val="center"/>
              <w:rPr>
                <w:rFonts w:ascii="宋体" w:hAnsi="宋体" w:eastAsia="宋体" w:cs="黑体"/>
                <w:color w:val="000000"/>
                <w:kern w:val="0"/>
                <w:sz w:val="15"/>
                <w:szCs w:val="15"/>
                <w:lang w:bidi="ar"/>
              </w:rPr>
            </w:pPr>
            <w:r>
              <w:rPr>
                <w:rFonts w:hint="eastAsia" w:ascii="宋体" w:hAnsi="宋体" w:eastAsia="宋体" w:cs="黑体"/>
                <w:color w:val="000000"/>
                <w:kern w:val="0"/>
                <w:sz w:val="15"/>
                <w:szCs w:val="15"/>
                <w:lang w:bidi="ar"/>
              </w:rPr>
              <w:t>升级</w:t>
            </w:r>
          </w:p>
          <w:p>
            <w:pPr>
              <w:widowControl/>
              <w:spacing w:line="240" w:lineRule="exact"/>
              <w:jc w:val="center"/>
              <w:textAlignment w:val="center"/>
              <w:rPr>
                <w:rFonts w:hint="eastAsia" w:ascii="宋体" w:hAnsi="宋体" w:eastAsia="宋体" w:cs="宋体"/>
                <w:color w:val="000000"/>
                <w:kern w:val="0"/>
                <w:sz w:val="15"/>
                <w:szCs w:val="15"/>
                <w:lang w:val="en-US" w:eastAsia="zh-CN" w:bidi="ar-SA"/>
              </w:rPr>
            </w:pPr>
            <w:r>
              <w:rPr>
                <w:rFonts w:hint="eastAsia" w:ascii="宋体" w:hAnsi="宋体" w:eastAsia="宋体" w:cs="黑体"/>
                <w:color w:val="000000"/>
                <w:kern w:val="0"/>
                <w:sz w:val="15"/>
                <w:szCs w:val="15"/>
                <w:lang w:bidi="ar"/>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8" w:type="dxa"/>
            <w:vMerge w:val="continue"/>
            <w:vAlign w:val="center"/>
          </w:tcPr>
          <w:p>
            <w:pPr>
              <w:widowControl/>
              <w:spacing w:line="240" w:lineRule="exact"/>
              <w:jc w:val="center"/>
              <w:textAlignment w:val="center"/>
              <w:rPr>
                <w:rFonts w:ascii="宋体" w:hAnsi="宋体" w:eastAsia="宋体" w:cs="宋体"/>
                <w:kern w:val="0"/>
                <w:sz w:val="15"/>
                <w:szCs w:val="15"/>
              </w:rPr>
            </w:pPr>
          </w:p>
        </w:tc>
        <w:tc>
          <w:tcPr>
            <w:tcW w:w="958" w:type="dxa"/>
            <w:vMerge w:val="continue"/>
            <w:vAlign w:val="center"/>
          </w:tcPr>
          <w:p>
            <w:pPr>
              <w:spacing w:line="240" w:lineRule="exact"/>
              <w:jc w:val="center"/>
              <w:textAlignment w:val="center"/>
              <w:rPr>
                <w:rFonts w:ascii="宋体" w:hAnsi="宋体" w:eastAsia="宋体" w:cs="宋体"/>
                <w:i/>
                <w:iCs/>
                <w:color w:val="000000"/>
                <w:kern w:val="0"/>
                <w:sz w:val="15"/>
                <w:szCs w:val="15"/>
              </w:rPr>
            </w:pPr>
          </w:p>
        </w:tc>
        <w:tc>
          <w:tcPr>
            <w:tcW w:w="1223" w:type="dxa"/>
            <w:vMerge w:val="continue"/>
            <w:vAlign w:val="center"/>
          </w:tcPr>
          <w:p>
            <w:pPr>
              <w:widowControl/>
              <w:spacing w:line="240" w:lineRule="exact"/>
              <w:jc w:val="left"/>
              <w:textAlignment w:val="center"/>
              <w:rPr>
                <w:rFonts w:ascii="宋体" w:hAnsi="宋体" w:eastAsia="宋体" w:cs="宋体"/>
                <w:sz w:val="15"/>
                <w:szCs w:val="15"/>
              </w:rPr>
            </w:pPr>
          </w:p>
        </w:tc>
        <w:tc>
          <w:tcPr>
            <w:tcW w:w="888" w:type="dxa"/>
            <w:vMerge w:val="continue"/>
            <w:vAlign w:val="center"/>
          </w:tcPr>
          <w:p>
            <w:pPr>
              <w:widowControl/>
              <w:spacing w:line="240" w:lineRule="exact"/>
              <w:jc w:val="center"/>
              <w:textAlignment w:val="center"/>
              <w:rPr>
                <w:rFonts w:ascii="宋体" w:hAnsi="宋体" w:eastAsia="宋体" w:cs="宋体"/>
                <w:sz w:val="15"/>
                <w:szCs w:val="15"/>
              </w:rPr>
            </w:pPr>
          </w:p>
        </w:tc>
        <w:tc>
          <w:tcPr>
            <w:tcW w:w="1179" w:type="dxa"/>
            <w:vAlign w:val="center"/>
          </w:tcPr>
          <w:p>
            <w:pPr>
              <w:widowControl/>
              <w:spacing w:line="240" w:lineRule="exact"/>
              <w:jc w:val="left"/>
              <w:textAlignment w:val="center"/>
              <w:rPr>
                <w:rFonts w:ascii="宋体" w:hAnsi="宋体" w:eastAsia="宋体" w:cs="Arial"/>
                <w:kern w:val="0"/>
                <w:sz w:val="15"/>
                <w:szCs w:val="15"/>
              </w:rPr>
            </w:pPr>
            <w:r>
              <w:rPr>
                <w:rFonts w:hint="eastAsia" w:ascii="宋体" w:hAnsi="宋体" w:eastAsia="宋体" w:cs="宋体"/>
                <w:w w:val="90"/>
                <w:sz w:val="15"/>
                <w:szCs w:val="15"/>
              </w:rPr>
              <w:t>新鲜氧化铝风动溜槽输送系统技改</w:t>
            </w:r>
          </w:p>
        </w:tc>
        <w:tc>
          <w:tcPr>
            <w:tcW w:w="819" w:type="dxa"/>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黑体"/>
                <w:color w:val="000000"/>
                <w:kern w:val="0"/>
                <w:sz w:val="15"/>
                <w:szCs w:val="15"/>
                <w:lang w:bidi="ar"/>
              </w:rPr>
              <w:t>4600</w:t>
            </w:r>
          </w:p>
        </w:tc>
        <w:tc>
          <w:tcPr>
            <w:tcW w:w="640" w:type="dxa"/>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黑体"/>
                <w:color w:val="000000"/>
                <w:kern w:val="0"/>
                <w:sz w:val="15"/>
                <w:szCs w:val="15"/>
                <w:lang w:bidi="ar"/>
              </w:rPr>
              <w:t>自筹</w:t>
            </w:r>
          </w:p>
        </w:tc>
        <w:tc>
          <w:tcPr>
            <w:tcW w:w="3833" w:type="dxa"/>
            <w:vAlign w:val="center"/>
          </w:tcPr>
          <w:p>
            <w:pPr>
              <w:widowControl/>
              <w:spacing w:line="240" w:lineRule="exact"/>
              <w:jc w:val="left"/>
              <w:textAlignment w:val="center"/>
              <w:rPr>
                <w:rFonts w:ascii="宋体" w:hAnsi="宋体" w:eastAsia="宋体" w:cs="宋体"/>
                <w:sz w:val="15"/>
                <w:szCs w:val="15"/>
              </w:rPr>
            </w:pPr>
            <w:r>
              <w:rPr>
                <w:rFonts w:hint="eastAsia" w:ascii="宋体" w:hAnsi="宋体" w:eastAsia="宋体" w:cs="黑体"/>
                <w:color w:val="000000"/>
                <w:kern w:val="0"/>
                <w:sz w:val="15"/>
                <w:szCs w:val="15"/>
                <w:lang w:bidi="ar"/>
              </w:rPr>
              <w:t>新建新鲜氧化铝输送方式，采用氧化铝仓库内的袋装氧化铝由天车吊运至下料平台，通过下料斗进入风动溜槽结合斗式提升机配合输送的方式，将新鲜氧化铝输送至各净化系统新鲜储仓。</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2022年12月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2023年8月</w:t>
            </w:r>
          </w:p>
        </w:tc>
        <w:tc>
          <w:tcPr>
            <w:tcW w:w="1729" w:type="dxa"/>
            <w:vMerge w:val="continue"/>
            <w:vAlign w:val="center"/>
          </w:tcPr>
          <w:p>
            <w:pPr>
              <w:widowControl/>
              <w:spacing w:line="240" w:lineRule="exact"/>
              <w:jc w:val="center"/>
              <w:textAlignment w:val="center"/>
              <w:rPr>
                <w:rFonts w:ascii="宋体" w:hAnsi="宋体" w:eastAsia="宋体" w:cs="宋体"/>
                <w:color w:val="000000"/>
                <w:kern w:val="0"/>
                <w:sz w:val="15"/>
                <w:szCs w:val="15"/>
              </w:rPr>
            </w:pPr>
          </w:p>
        </w:tc>
        <w:tc>
          <w:tcPr>
            <w:tcW w:w="1895" w:type="dxa"/>
            <w:vAlign w:val="center"/>
          </w:tcPr>
          <w:p>
            <w:pPr>
              <w:widowControl/>
              <w:spacing w:line="240" w:lineRule="exact"/>
              <w:jc w:val="center"/>
              <w:textAlignment w:val="center"/>
              <w:rPr>
                <w:rFonts w:ascii="宋体" w:hAnsi="宋体" w:eastAsia="宋体" w:cs="宋体"/>
                <w:i/>
                <w:iCs/>
                <w:color w:val="000000"/>
                <w:kern w:val="0"/>
                <w:sz w:val="15"/>
                <w:szCs w:val="15"/>
              </w:rPr>
            </w:pPr>
            <w:r>
              <w:rPr>
                <w:rFonts w:hint="eastAsia" w:ascii="宋体" w:hAnsi="宋体" w:eastAsia="宋体" w:cs="黑体"/>
                <w:color w:val="000000"/>
                <w:kern w:val="0"/>
                <w:sz w:val="15"/>
                <w:szCs w:val="15"/>
                <w:lang w:bidi="ar"/>
              </w:rPr>
              <w:t>空压机辅助动力电耗下降至约58</w:t>
            </w:r>
            <w:r>
              <w:rPr>
                <w:rFonts w:hint="eastAsia" w:ascii="宋体" w:hAnsi="宋体" w:eastAsia="宋体" w:cs="黑体"/>
                <w:color w:val="000000"/>
                <w:kern w:val="0"/>
                <w:sz w:val="15"/>
                <w:szCs w:val="15"/>
                <w:lang w:eastAsia="zh-CN" w:bidi="ar"/>
              </w:rPr>
              <w:t>（</w:t>
            </w:r>
            <w:r>
              <w:rPr>
                <w:rFonts w:hint="eastAsia" w:ascii="宋体" w:hAnsi="宋体" w:eastAsia="宋体" w:cs="黑体"/>
                <w:color w:val="000000"/>
                <w:kern w:val="0"/>
                <w:sz w:val="15"/>
                <w:szCs w:val="15"/>
                <w:lang w:bidi="ar"/>
              </w:rPr>
              <w:t>kWh/t</w:t>
            </w:r>
            <w:r>
              <w:rPr>
                <w:rFonts w:hint="eastAsia" w:ascii="宋体" w:hAnsi="宋体" w:eastAsia="宋体" w:cs="黑体"/>
                <w:color w:val="000000"/>
                <w:kern w:val="0"/>
                <w:sz w:val="15"/>
                <w:szCs w:val="15"/>
                <w:lang w:eastAsia="zh-CN" w:bidi="ar"/>
              </w:rPr>
              <w:t>）</w:t>
            </w:r>
          </w:p>
        </w:tc>
        <w:tc>
          <w:tcPr>
            <w:tcW w:w="726" w:type="dxa"/>
            <w:vAlign w:val="center"/>
          </w:tcPr>
          <w:p>
            <w:pPr>
              <w:widowControl/>
              <w:spacing w:line="240" w:lineRule="exact"/>
              <w:jc w:val="center"/>
              <w:textAlignment w:val="center"/>
              <w:rPr>
                <w:rFonts w:ascii="宋体" w:hAnsi="宋体" w:eastAsia="宋体" w:cs="黑体"/>
                <w:color w:val="000000"/>
                <w:kern w:val="0"/>
                <w:sz w:val="15"/>
                <w:szCs w:val="15"/>
                <w:lang w:bidi="ar"/>
              </w:rPr>
            </w:pPr>
            <w:r>
              <w:rPr>
                <w:rFonts w:hint="eastAsia" w:ascii="宋体" w:hAnsi="宋体" w:eastAsia="宋体" w:cs="黑体"/>
                <w:color w:val="000000"/>
                <w:kern w:val="0"/>
                <w:sz w:val="15"/>
                <w:szCs w:val="15"/>
                <w:lang w:bidi="ar"/>
              </w:rPr>
              <w:t>升级</w:t>
            </w:r>
          </w:p>
          <w:p>
            <w:pPr>
              <w:widowControl/>
              <w:spacing w:line="240" w:lineRule="exact"/>
              <w:jc w:val="center"/>
              <w:textAlignment w:val="center"/>
              <w:rPr>
                <w:rFonts w:ascii="宋体" w:hAnsi="宋体" w:eastAsia="宋体" w:cs="宋体"/>
                <w:color w:val="000000"/>
                <w:kern w:val="0"/>
                <w:sz w:val="15"/>
                <w:szCs w:val="15"/>
              </w:rPr>
            </w:pPr>
            <w:r>
              <w:rPr>
                <w:rFonts w:hint="eastAsia" w:ascii="宋体" w:hAnsi="宋体" w:eastAsia="宋体" w:cs="黑体"/>
                <w:color w:val="000000"/>
                <w:kern w:val="0"/>
                <w:sz w:val="15"/>
                <w:szCs w:val="15"/>
                <w:lang w:bidi="ar"/>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378" w:type="dxa"/>
            <w:vMerge w:val="restart"/>
            <w:vAlign w:val="center"/>
          </w:tcPr>
          <w:p>
            <w:pPr>
              <w:widowControl/>
              <w:spacing w:line="240" w:lineRule="exact"/>
              <w:jc w:val="center"/>
              <w:textAlignment w:val="center"/>
              <w:rPr>
                <w:rFonts w:hint="eastAsia"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2</w:t>
            </w:r>
          </w:p>
        </w:tc>
        <w:tc>
          <w:tcPr>
            <w:tcW w:w="958" w:type="dxa"/>
            <w:vMerge w:val="restart"/>
            <w:vAlign w:val="center"/>
          </w:tcPr>
          <w:p>
            <w:pPr>
              <w:spacing w:line="240" w:lineRule="exact"/>
              <w:jc w:val="center"/>
              <w:textAlignment w:val="center"/>
              <w:rPr>
                <w:rFonts w:ascii="宋体" w:hAnsi="宋体" w:eastAsia="宋体" w:cs="宋体"/>
                <w:i/>
                <w:iCs/>
                <w:color w:val="000000"/>
                <w:kern w:val="0"/>
                <w:sz w:val="15"/>
                <w:szCs w:val="15"/>
              </w:rPr>
            </w:pPr>
            <w:r>
              <w:rPr>
                <w:rFonts w:hint="eastAsia" w:ascii="宋体" w:hAnsi="宋体" w:eastAsia="宋体" w:cs="宋体"/>
                <w:kern w:val="0"/>
                <w:sz w:val="15"/>
                <w:szCs w:val="15"/>
              </w:rPr>
              <w:t>电解铝</w:t>
            </w:r>
          </w:p>
        </w:tc>
        <w:tc>
          <w:tcPr>
            <w:tcW w:w="1223" w:type="dxa"/>
            <w:vMerge w:val="restart"/>
            <w:vAlign w:val="center"/>
          </w:tcPr>
          <w:p>
            <w:pPr>
              <w:widowControl/>
              <w:spacing w:line="240" w:lineRule="exact"/>
              <w:jc w:val="left"/>
              <w:textAlignment w:val="center"/>
              <w:rPr>
                <w:rFonts w:ascii="宋体" w:hAnsi="宋体" w:eastAsia="宋体" w:cs="宋体"/>
                <w:sz w:val="15"/>
                <w:szCs w:val="15"/>
              </w:rPr>
            </w:pPr>
            <w:r>
              <w:rPr>
                <w:rFonts w:hint="eastAsia" w:ascii="宋体" w:hAnsi="宋体" w:eastAsia="宋体" w:cs="黑体"/>
                <w:color w:val="000000"/>
                <w:kern w:val="0"/>
                <w:sz w:val="15"/>
                <w:szCs w:val="15"/>
                <w:lang w:bidi="ar"/>
              </w:rPr>
              <w:t>青海百河铝业</w:t>
            </w:r>
            <w:r>
              <w:rPr>
                <w:rFonts w:hint="eastAsia" w:ascii="宋体" w:hAnsi="宋体" w:eastAsia="宋体" w:cs="黑体"/>
                <w:color w:val="000000"/>
                <w:kern w:val="0"/>
                <w:sz w:val="15"/>
                <w:szCs w:val="15"/>
                <w:lang w:bidi="ar"/>
              </w:rPr>
              <w:br w:type="textWrapping"/>
            </w:r>
            <w:r>
              <w:rPr>
                <w:rFonts w:hint="eastAsia" w:ascii="宋体" w:hAnsi="宋体" w:eastAsia="宋体" w:cs="黑体"/>
                <w:color w:val="000000"/>
                <w:kern w:val="0"/>
                <w:sz w:val="15"/>
                <w:szCs w:val="15"/>
                <w:lang w:bidi="ar"/>
              </w:rPr>
              <w:t>有限责任公司</w:t>
            </w:r>
          </w:p>
        </w:tc>
        <w:tc>
          <w:tcPr>
            <w:tcW w:w="888" w:type="dxa"/>
            <w:vMerge w:val="restart"/>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黑体"/>
                <w:color w:val="000000"/>
                <w:kern w:val="0"/>
                <w:sz w:val="15"/>
                <w:szCs w:val="15"/>
                <w:lang w:bidi="ar"/>
              </w:rPr>
              <w:t>青海省西宁市甘河工业园区</w:t>
            </w:r>
          </w:p>
        </w:tc>
        <w:tc>
          <w:tcPr>
            <w:tcW w:w="1179" w:type="dxa"/>
            <w:vAlign w:val="center"/>
          </w:tcPr>
          <w:p>
            <w:pPr>
              <w:widowControl/>
              <w:spacing w:line="240" w:lineRule="exact"/>
              <w:jc w:val="left"/>
              <w:textAlignment w:val="center"/>
              <w:rPr>
                <w:rFonts w:ascii="宋体" w:hAnsi="宋体" w:eastAsia="宋体" w:cs="Arial"/>
                <w:kern w:val="0"/>
                <w:sz w:val="15"/>
                <w:szCs w:val="15"/>
              </w:rPr>
            </w:pPr>
            <w:r>
              <w:rPr>
                <w:rFonts w:hint="eastAsia" w:ascii="宋体" w:hAnsi="宋体" w:eastAsia="宋体" w:cs="黑体"/>
                <w:color w:val="000000"/>
                <w:kern w:val="0"/>
                <w:sz w:val="15"/>
                <w:szCs w:val="15"/>
                <w:lang w:bidi="ar"/>
              </w:rPr>
              <w:t>净化车间北厂1#2#净化系统排烟风机变频改造</w:t>
            </w:r>
          </w:p>
        </w:tc>
        <w:tc>
          <w:tcPr>
            <w:tcW w:w="819" w:type="dxa"/>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黑体"/>
                <w:color w:val="000000"/>
                <w:kern w:val="0"/>
                <w:sz w:val="15"/>
                <w:szCs w:val="15"/>
                <w:lang w:bidi="ar"/>
              </w:rPr>
              <w:t>530</w:t>
            </w:r>
          </w:p>
        </w:tc>
        <w:tc>
          <w:tcPr>
            <w:tcW w:w="640" w:type="dxa"/>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黑体"/>
                <w:color w:val="000000"/>
                <w:kern w:val="0"/>
                <w:sz w:val="15"/>
                <w:szCs w:val="15"/>
                <w:lang w:bidi="ar"/>
              </w:rPr>
              <w:t>自筹</w:t>
            </w:r>
          </w:p>
        </w:tc>
        <w:tc>
          <w:tcPr>
            <w:tcW w:w="3833" w:type="dxa"/>
            <w:vAlign w:val="center"/>
          </w:tcPr>
          <w:p>
            <w:pPr>
              <w:widowControl/>
              <w:spacing w:line="240" w:lineRule="exact"/>
              <w:jc w:val="left"/>
              <w:textAlignment w:val="center"/>
              <w:rPr>
                <w:rFonts w:ascii="宋体" w:hAnsi="宋体" w:eastAsia="宋体" w:cs="宋体"/>
                <w:sz w:val="15"/>
                <w:szCs w:val="15"/>
              </w:rPr>
            </w:pPr>
            <w:r>
              <w:rPr>
                <w:rFonts w:hint="eastAsia" w:ascii="宋体" w:hAnsi="宋体" w:eastAsia="宋体" w:cs="黑体"/>
                <w:color w:val="000000"/>
                <w:kern w:val="0"/>
                <w:sz w:val="15"/>
                <w:szCs w:val="15"/>
                <w:lang w:bidi="ar"/>
              </w:rPr>
              <w:t>1</w:t>
            </w:r>
            <w:r>
              <w:rPr>
                <w:rFonts w:hint="eastAsia" w:ascii="宋体" w:hAnsi="宋体" w:eastAsia="宋体" w:cs="黑体"/>
                <w:color w:val="000000"/>
                <w:kern w:val="0"/>
                <w:sz w:val="15"/>
                <w:szCs w:val="15"/>
                <w:lang w:eastAsia="zh-CN" w:bidi="ar"/>
              </w:rPr>
              <w:t>.</w:t>
            </w:r>
            <w:r>
              <w:rPr>
                <w:rFonts w:hint="eastAsia" w:ascii="宋体" w:hAnsi="宋体" w:eastAsia="宋体" w:cs="黑体"/>
                <w:color w:val="000000"/>
                <w:kern w:val="0"/>
                <w:sz w:val="15"/>
                <w:szCs w:val="15"/>
                <w:lang w:bidi="ar"/>
              </w:rPr>
              <w:t>对北厂区1#、2#净化系统加装8台变频器。</w:t>
            </w:r>
            <w:r>
              <w:rPr>
                <w:rFonts w:hint="eastAsia" w:ascii="宋体" w:hAnsi="宋体" w:eastAsia="宋体" w:cs="黑体"/>
                <w:color w:val="000000"/>
                <w:kern w:val="0"/>
                <w:sz w:val="15"/>
                <w:szCs w:val="15"/>
                <w:lang w:bidi="ar"/>
              </w:rPr>
              <w:br w:type="textWrapping"/>
            </w:r>
            <w:r>
              <w:rPr>
                <w:rFonts w:hint="eastAsia" w:ascii="宋体" w:hAnsi="宋体" w:eastAsia="宋体" w:cs="黑体"/>
                <w:color w:val="000000"/>
                <w:kern w:val="0"/>
                <w:sz w:val="15"/>
                <w:szCs w:val="15"/>
                <w:lang w:bidi="ar"/>
              </w:rPr>
              <w:t>2</w:t>
            </w:r>
            <w:r>
              <w:rPr>
                <w:rFonts w:hint="eastAsia" w:ascii="宋体" w:hAnsi="宋体" w:eastAsia="宋体" w:cs="黑体"/>
                <w:color w:val="000000"/>
                <w:kern w:val="0"/>
                <w:sz w:val="15"/>
                <w:szCs w:val="15"/>
                <w:lang w:val="en-US" w:eastAsia="zh-CN" w:bidi="ar"/>
              </w:rPr>
              <w:t>.</w:t>
            </w:r>
            <w:r>
              <w:rPr>
                <w:rFonts w:hint="eastAsia" w:ascii="宋体" w:hAnsi="宋体" w:eastAsia="宋体" w:cs="黑体"/>
                <w:color w:val="000000"/>
                <w:kern w:val="0"/>
                <w:sz w:val="15"/>
                <w:szCs w:val="15"/>
                <w:lang w:bidi="ar"/>
              </w:rPr>
              <w:t>根据变频器选型安装连接电缆。</w:t>
            </w:r>
            <w:r>
              <w:rPr>
                <w:rFonts w:hint="eastAsia" w:ascii="宋体" w:hAnsi="宋体" w:eastAsia="宋体" w:cs="黑体"/>
                <w:color w:val="000000"/>
                <w:kern w:val="0"/>
                <w:sz w:val="15"/>
                <w:szCs w:val="15"/>
                <w:lang w:bidi="ar"/>
              </w:rPr>
              <w:br w:type="textWrapping"/>
            </w:r>
            <w:r>
              <w:rPr>
                <w:rFonts w:hint="eastAsia" w:ascii="宋体" w:hAnsi="宋体" w:eastAsia="宋体" w:cs="黑体"/>
                <w:color w:val="000000"/>
                <w:kern w:val="0"/>
                <w:sz w:val="15"/>
                <w:szCs w:val="15"/>
                <w:lang w:bidi="ar"/>
              </w:rPr>
              <w:t>3</w:t>
            </w:r>
            <w:r>
              <w:rPr>
                <w:rFonts w:hint="eastAsia" w:ascii="宋体" w:hAnsi="宋体" w:eastAsia="宋体" w:cs="黑体"/>
                <w:color w:val="000000"/>
                <w:kern w:val="0"/>
                <w:sz w:val="15"/>
                <w:szCs w:val="15"/>
                <w:lang w:val="en-US" w:eastAsia="zh-CN" w:bidi="ar"/>
              </w:rPr>
              <w:t>.</w:t>
            </w:r>
            <w:r>
              <w:rPr>
                <w:rFonts w:hint="eastAsia" w:ascii="宋体" w:hAnsi="宋体" w:eastAsia="宋体" w:cs="黑体"/>
                <w:color w:val="000000"/>
                <w:kern w:val="0"/>
                <w:sz w:val="15"/>
                <w:szCs w:val="15"/>
                <w:lang w:bidi="ar"/>
              </w:rPr>
              <w:t>设计砖混结构高压变频室。</w:t>
            </w:r>
            <w:r>
              <w:rPr>
                <w:rFonts w:hint="eastAsia" w:ascii="宋体" w:hAnsi="宋体" w:eastAsia="宋体" w:cs="黑体"/>
                <w:color w:val="000000"/>
                <w:kern w:val="0"/>
                <w:sz w:val="15"/>
                <w:szCs w:val="15"/>
                <w:lang w:bidi="ar"/>
              </w:rPr>
              <w:br w:type="textWrapping"/>
            </w:r>
            <w:r>
              <w:rPr>
                <w:rFonts w:hint="eastAsia" w:ascii="宋体" w:hAnsi="宋体" w:eastAsia="宋体" w:cs="黑体"/>
                <w:color w:val="000000"/>
                <w:kern w:val="0"/>
                <w:sz w:val="15"/>
                <w:szCs w:val="15"/>
                <w:lang w:bidi="ar"/>
              </w:rPr>
              <w:t>4</w:t>
            </w:r>
            <w:r>
              <w:rPr>
                <w:rFonts w:hint="eastAsia" w:ascii="宋体" w:hAnsi="宋体" w:eastAsia="宋体" w:cs="黑体"/>
                <w:color w:val="000000"/>
                <w:kern w:val="0"/>
                <w:sz w:val="15"/>
                <w:szCs w:val="15"/>
                <w:lang w:val="en-US" w:eastAsia="zh-CN" w:bidi="ar"/>
              </w:rPr>
              <w:t>.</w:t>
            </w:r>
            <w:r>
              <w:rPr>
                <w:rFonts w:hint="eastAsia" w:ascii="宋体" w:hAnsi="宋体" w:eastAsia="宋体" w:cs="黑体"/>
                <w:color w:val="000000"/>
                <w:kern w:val="0"/>
                <w:sz w:val="15"/>
                <w:szCs w:val="15"/>
                <w:lang w:bidi="ar"/>
              </w:rPr>
              <w:t>高压变频器采用空水冷冷却方式。</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2023年5月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2023年9月</w:t>
            </w:r>
          </w:p>
        </w:tc>
        <w:tc>
          <w:tcPr>
            <w:tcW w:w="1729" w:type="dxa"/>
            <w:vMerge w:val="restart"/>
            <w:vAlign w:val="center"/>
          </w:tcPr>
          <w:p>
            <w:pPr>
              <w:widowControl/>
              <w:spacing w:line="240" w:lineRule="exact"/>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铝液电解交流电耗</w:t>
            </w:r>
            <w:r>
              <w:rPr>
                <w:rFonts w:ascii="宋体" w:hAnsi="宋体" w:eastAsia="宋体" w:cs="宋体"/>
                <w:color w:val="000000"/>
                <w:kern w:val="0"/>
                <w:sz w:val="15"/>
                <w:szCs w:val="15"/>
              </w:rPr>
              <w:t>13149.25</w:t>
            </w:r>
            <w:r>
              <w:rPr>
                <w:rFonts w:hint="eastAsia" w:ascii="宋体" w:hAnsi="宋体" w:eastAsia="宋体" w:cs="黑体"/>
                <w:color w:val="000000"/>
                <w:kern w:val="0"/>
                <w:sz w:val="15"/>
                <w:szCs w:val="15"/>
                <w:lang w:eastAsia="zh-CN" w:bidi="ar"/>
              </w:rPr>
              <w:t>（</w:t>
            </w:r>
            <w:r>
              <w:rPr>
                <w:rFonts w:hint="eastAsia" w:ascii="宋体" w:hAnsi="宋体" w:eastAsia="宋体" w:cs="黑体"/>
                <w:color w:val="000000"/>
                <w:kern w:val="0"/>
                <w:sz w:val="15"/>
                <w:szCs w:val="15"/>
                <w:lang w:bidi="ar"/>
              </w:rPr>
              <w:t>kWh/t</w:t>
            </w:r>
            <w:r>
              <w:rPr>
                <w:rFonts w:hint="eastAsia" w:ascii="宋体" w:hAnsi="宋体" w:eastAsia="宋体" w:cs="黑体"/>
                <w:color w:val="000000"/>
                <w:kern w:val="0"/>
                <w:sz w:val="15"/>
                <w:szCs w:val="15"/>
                <w:lang w:eastAsia="zh-CN" w:bidi="ar"/>
              </w:rPr>
              <w:t>）</w:t>
            </w:r>
            <w:r>
              <w:rPr>
                <w:rFonts w:hint="eastAsia" w:ascii="宋体" w:hAnsi="宋体" w:eastAsia="宋体" w:cs="宋体"/>
                <w:color w:val="000000"/>
                <w:kern w:val="0"/>
                <w:sz w:val="15"/>
                <w:szCs w:val="15"/>
              </w:rPr>
              <w:t>（基准水平）</w:t>
            </w:r>
          </w:p>
        </w:tc>
        <w:tc>
          <w:tcPr>
            <w:tcW w:w="1895" w:type="dxa"/>
            <w:vAlign w:val="center"/>
          </w:tcPr>
          <w:p>
            <w:pPr>
              <w:widowControl/>
              <w:spacing w:line="240" w:lineRule="exact"/>
              <w:jc w:val="center"/>
              <w:textAlignment w:val="center"/>
              <w:rPr>
                <w:rFonts w:ascii="宋体" w:hAnsi="宋体" w:eastAsia="宋体" w:cs="宋体"/>
                <w:i/>
                <w:iCs/>
                <w:color w:val="000000"/>
                <w:kern w:val="0"/>
                <w:sz w:val="15"/>
                <w:szCs w:val="15"/>
              </w:rPr>
            </w:pPr>
            <w:r>
              <w:rPr>
                <w:rFonts w:hint="eastAsia" w:ascii="宋体" w:hAnsi="宋体" w:eastAsia="宋体" w:cs="黑体"/>
                <w:color w:val="000000"/>
                <w:kern w:val="0"/>
                <w:sz w:val="15"/>
                <w:szCs w:val="15"/>
                <w:lang w:bidi="ar"/>
              </w:rPr>
              <w:t>排烟风机辅助动力电耗下降至约160</w:t>
            </w:r>
            <w:r>
              <w:rPr>
                <w:rFonts w:hint="eastAsia" w:ascii="宋体" w:hAnsi="宋体" w:eastAsia="宋体" w:cs="宋体"/>
                <w:color w:val="000000"/>
                <w:kern w:val="0"/>
                <w:sz w:val="15"/>
                <w:szCs w:val="15"/>
              </w:rPr>
              <w:t>(kwh/t</w:t>
            </w:r>
            <w:r>
              <w:rPr>
                <w:rFonts w:hint="eastAsia" w:ascii="宋体" w:hAnsi="宋体" w:eastAsia="宋体" w:cs="宋体"/>
                <w:color w:val="000000"/>
                <w:kern w:val="0"/>
                <w:sz w:val="15"/>
                <w:szCs w:val="15"/>
                <w:lang w:eastAsia="zh-CN"/>
              </w:rPr>
              <w:t>）</w:t>
            </w:r>
          </w:p>
        </w:tc>
        <w:tc>
          <w:tcPr>
            <w:tcW w:w="726" w:type="dxa"/>
            <w:vAlign w:val="center"/>
          </w:tcPr>
          <w:p>
            <w:pPr>
              <w:widowControl/>
              <w:spacing w:line="240" w:lineRule="exact"/>
              <w:jc w:val="center"/>
              <w:textAlignment w:val="center"/>
              <w:rPr>
                <w:rFonts w:ascii="宋体" w:hAnsi="宋体" w:eastAsia="宋体" w:cs="黑体"/>
                <w:color w:val="000000"/>
                <w:kern w:val="0"/>
                <w:sz w:val="15"/>
                <w:szCs w:val="15"/>
                <w:lang w:bidi="ar"/>
              </w:rPr>
            </w:pPr>
            <w:r>
              <w:rPr>
                <w:rFonts w:hint="eastAsia" w:ascii="宋体" w:hAnsi="宋体" w:eastAsia="宋体" w:cs="黑体"/>
                <w:color w:val="000000"/>
                <w:kern w:val="0"/>
                <w:sz w:val="15"/>
                <w:szCs w:val="15"/>
                <w:lang w:bidi="ar"/>
              </w:rPr>
              <w:t>升级</w:t>
            </w:r>
          </w:p>
          <w:p>
            <w:pPr>
              <w:widowControl/>
              <w:spacing w:line="240" w:lineRule="exact"/>
              <w:jc w:val="center"/>
              <w:textAlignment w:val="center"/>
              <w:rPr>
                <w:rFonts w:ascii="宋体" w:hAnsi="宋体" w:eastAsia="宋体" w:cs="宋体"/>
                <w:color w:val="000000"/>
                <w:kern w:val="0"/>
                <w:sz w:val="15"/>
                <w:szCs w:val="15"/>
              </w:rPr>
            </w:pPr>
            <w:r>
              <w:rPr>
                <w:rFonts w:hint="eastAsia" w:ascii="宋体" w:hAnsi="宋体" w:eastAsia="宋体" w:cs="黑体"/>
                <w:color w:val="000000"/>
                <w:kern w:val="0"/>
                <w:sz w:val="15"/>
                <w:szCs w:val="15"/>
                <w:lang w:bidi="ar"/>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378" w:type="dxa"/>
            <w:vMerge w:val="continue"/>
            <w:vAlign w:val="center"/>
          </w:tcPr>
          <w:p>
            <w:pPr>
              <w:widowControl/>
              <w:spacing w:line="240" w:lineRule="exact"/>
              <w:jc w:val="center"/>
              <w:textAlignment w:val="center"/>
              <w:rPr>
                <w:rFonts w:ascii="宋体" w:hAnsi="宋体" w:eastAsia="宋体" w:cs="宋体"/>
                <w:kern w:val="0"/>
                <w:sz w:val="15"/>
                <w:szCs w:val="15"/>
              </w:rPr>
            </w:pPr>
          </w:p>
        </w:tc>
        <w:tc>
          <w:tcPr>
            <w:tcW w:w="958" w:type="dxa"/>
            <w:vMerge w:val="continue"/>
            <w:vAlign w:val="center"/>
          </w:tcPr>
          <w:p>
            <w:pPr>
              <w:spacing w:line="240" w:lineRule="exact"/>
              <w:jc w:val="center"/>
              <w:textAlignment w:val="center"/>
              <w:rPr>
                <w:rFonts w:ascii="宋体" w:hAnsi="宋体" w:eastAsia="宋体" w:cs="宋体"/>
                <w:i/>
                <w:iCs/>
                <w:color w:val="000000"/>
                <w:kern w:val="0"/>
                <w:sz w:val="15"/>
                <w:szCs w:val="15"/>
              </w:rPr>
            </w:pPr>
          </w:p>
        </w:tc>
        <w:tc>
          <w:tcPr>
            <w:tcW w:w="1223" w:type="dxa"/>
            <w:vMerge w:val="continue"/>
            <w:vAlign w:val="center"/>
          </w:tcPr>
          <w:p>
            <w:pPr>
              <w:widowControl/>
              <w:spacing w:line="240" w:lineRule="exact"/>
              <w:jc w:val="left"/>
              <w:textAlignment w:val="center"/>
              <w:rPr>
                <w:rFonts w:ascii="宋体" w:hAnsi="宋体" w:eastAsia="宋体" w:cs="宋体"/>
                <w:sz w:val="15"/>
                <w:szCs w:val="15"/>
              </w:rPr>
            </w:pPr>
          </w:p>
        </w:tc>
        <w:tc>
          <w:tcPr>
            <w:tcW w:w="888" w:type="dxa"/>
            <w:vMerge w:val="continue"/>
            <w:vAlign w:val="center"/>
          </w:tcPr>
          <w:p>
            <w:pPr>
              <w:widowControl/>
              <w:spacing w:line="240" w:lineRule="exact"/>
              <w:jc w:val="center"/>
              <w:textAlignment w:val="center"/>
              <w:rPr>
                <w:rFonts w:ascii="宋体" w:hAnsi="宋体" w:eastAsia="宋体" w:cs="宋体"/>
                <w:sz w:val="15"/>
                <w:szCs w:val="15"/>
              </w:rPr>
            </w:pPr>
          </w:p>
        </w:tc>
        <w:tc>
          <w:tcPr>
            <w:tcW w:w="1179" w:type="dxa"/>
            <w:vAlign w:val="center"/>
          </w:tcPr>
          <w:p>
            <w:pPr>
              <w:widowControl/>
              <w:spacing w:line="240" w:lineRule="exact"/>
              <w:jc w:val="left"/>
              <w:textAlignment w:val="center"/>
              <w:rPr>
                <w:rFonts w:ascii="宋体" w:hAnsi="宋体" w:eastAsia="宋体" w:cs="Arial"/>
                <w:kern w:val="0"/>
                <w:sz w:val="15"/>
                <w:szCs w:val="15"/>
              </w:rPr>
            </w:pPr>
            <w:r>
              <w:rPr>
                <w:rFonts w:hint="eastAsia" w:ascii="宋体" w:hAnsi="宋体" w:eastAsia="宋体" w:cs="黑体"/>
                <w:color w:val="000000"/>
                <w:kern w:val="0"/>
                <w:sz w:val="15"/>
                <w:szCs w:val="15"/>
                <w:lang w:bidi="ar"/>
              </w:rPr>
              <w:t>铸造车间北厂1#混合炉电改气技改</w:t>
            </w:r>
          </w:p>
        </w:tc>
        <w:tc>
          <w:tcPr>
            <w:tcW w:w="819" w:type="dxa"/>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黑体"/>
                <w:color w:val="000000"/>
                <w:kern w:val="0"/>
                <w:sz w:val="15"/>
                <w:szCs w:val="15"/>
                <w:lang w:bidi="ar"/>
              </w:rPr>
              <w:t>240</w:t>
            </w:r>
          </w:p>
        </w:tc>
        <w:tc>
          <w:tcPr>
            <w:tcW w:w="640" w:type="dxa"/>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黑体"/>
                <w:color w:val="000000"/>
                <w:kern w:val="0"/>
                <w:sz w:val="15"/>
                <w:szCs w:val="15"/>
                <w:lang w:bidi="ar"/>
              </w:rPr>
              <w:t>自筹</w:t>
            </w:r>
          </w:p>
        </w:tc>
        <w:tc>
          <w:tcPr>
            <w:tcW w:w="3833" w:type="dxa"/>
            <w:vAlign w:val="center"/>
          </w:tcPr>
          <w:p>
            <w:pPr>
              <w:widowControl/>
              <w:spacing w:line="240" w:lineRule="exact"/>
              <w:jc w:val="left"/>
              <w:textAlignment w:val="center"/>
              <w:rPr>
                <w:rFonts w:ascii="宋体" w:hAnsi="宋体" w:eastAsia="宋体" w:cs="宋体"/>
                <w:sz w:val="15"/>
                <w:szCs w:val="15"/>
              </w:rPr>
            </w:pPr>
            <w:r>
              <w:rPr>
                <w:rFonts w:hint="eastAsia" w:ascii="宋体" w:hAnsi="宋体" w:eastAsia="宋体" w:cs="黑体"/>
                <w:color w:val="000000"/>
                <w:kern w:val="0"/>
                <w:sz w:val="15"/>
                <w:szCs w:val="15"/>
                <w:lang w:bidi="ar"/>
              </w:rPr>
              <w:t>对铸造车间原有1#、2#两台40t电加热混合炉进行拆除，基础加固后新砌筑1台50t燃气混合炉，安装燃烧控制系统、助燃系统、排烟系统等辅助设备。</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2022年12月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2023年4月</w:t>
            </w:r>
          </w:p>
        </w:tc>
        <w:tc>
          <w:tcPr>
            <w:tcW w:w="1729" w:type="dxa"/>
            <w:vMerge w:val="continue"/>
            <w:vAlign w:val="center"/>
          </w:tcPr>
          <w:p>
            <w:pPr>
              <w:widowControl/>
              <w:spacing w:line="240" w:lineRule="exact"/>
              <w:jc w:val="center"/>
              <w:textAlignment w:val="center"/>
              <w:rPr>
                <w:rFonts w:ascii="宋体" w:hAnsi="宋体" w:eastAsia="宋体" w:cs="宋体"/>
                <w:color w:val="000000"/>
                <w:kern w:val="0"/>
                <w:sz w:val="15"/>
                <w:szCs w:val="15"/>
              </w:rPr>
            </w:pPr>
          </w:p>
        </w:tc>
        <w:tc>
          <w:tcPr>
            <w:tcW w:w="1895" w:type="dxa"/>
            <w:vAlign w:val="center"/>
          </w:tcPr>
          <w:p>
            <w:pPr>
              <w:widowControl/>
              <w:spacing w:line="240" w:lineRule="exact"/>
              <w:jc w:val="center"/>
              <w:textAlignment w:val="center"/>
              <w:rPr>
                <w:rFonts w:hint="eastAsia" w:ascii="宋体" w:hAnsi="宋体" w:eastAsia="宋体" w:cs="宋体"/>
                <w:i/>
                <w:iCs/>
                <w:color w:val="000000"/>
                <w:kern w:val="0"/>
                <w:sz w:val="15"/>
                <w:szCs w:val="15"/>
                <w:lang w:val="en-US" w:eastAsia="zh-CN"/>
              </w:rPr>
            </w:pPr>
            <w:r>
              <w:rPr>
                <w:rFonts w:hint="eastAsia" w:ascii="宋体" w:hAnsi="宋体" w:eastAsia="宋体" w:cs="黑体"/>
                <w:color w:val="000000"/>
                <w:kern w:val="0"/>
                <w:sz w:val="15"/>
                <w:szCs w:val="15"/>
                <w:lang w:bidi="ar"/>
              </w:rPr>
              <w:t>铝锭动力电单耗下降至约33</w:t>
            </w:r>
            <w:r>
              <w:rPr>
                <w:rFonts w:hint="eastAsia" w:ascii="宋体" w:hAnsi="宋体" w:eastAsia="宋体" w:cs="宋体"/>
                <w:color w:val="000000"/>
                <w:kern w:val="0"/>
                <w:sz w:val="15"/>
                <w:szCs w:val="15"/>
              </w:rPr>
              <w:t>(kwh/t</w:t>
            </w:r>
            <w:r>
              <w:rPr>
                <w:rFonts w:hint="eastAsia" w:ascii="宋体" w:hAnsi="宋体" w:eastAsia="宋体" w:cs="宋体"/>
                <w:color w:val="000000"/>
                <w:kern w:val="0"/>
                <w:sz w:val="15"/>
                <w:szCs w:val="15"/>
                <w:lang w:eastAsia="zh-CN"/>
              </w:rPr>
              <w:t>）</w:t>
            </w:r>
          </w:p>
        </w:tc>
        <w:tc>
          <w:tcPr>
            <w:tcW w:w="726" w:type="dxa"/>
            <w:vAlign w:val="center"/>
          </w:tcPr>
          <w:p>
            <w:pPr>
              <w:widowControl/>
              <w:spacing w:line="240" w:lineRule="exact"/>
              <w:jc w:val="center"/>
              <w:textAlignment w:val="center"/>
              <w:rPr>
                <w:rFonts w:ascii="宋体" w:hAnsi="宋体" w:eastAsia="宋体" w:cs="黑体"/>
                <w:color w:val="000000"/>
                <w:kern w:val="0"/>
                <w:sz w:val="15"/>
                <w:szCs w:val="15"/>
                <w:lang w:bidi="ar"/>
              </w:rPr>
            </w:pPr>
            <w:r>
              <w:rPr>
                <w:rFonts w:hint="eastAsia" w:ascii="宋体" w:hAnsi="宋体" w:eastAsia="宋体" w:cs="黑体"/>
                <w:color w:val="000000"/>
                <w:kern w:val="0"/>
                <w:sz w:val="15"/>
                <w:szCs w:val="15"/>
                <w:lang w:bidi="ar"/>
              </w:rPr>
              <w:t>升级</w:t>
            </w:r>
          </w:p>
          <w:p>
            <w:pPr>
              <w:widowControl/>
              <w:spacing w:line="240" w:lineRule="exact"/>
              <w:jc w:val="center"/>
              <w:textAlignment w:val="center"/>
              <w:rPr>
                <w:rFonts w:ascii="宋体" w:hAnsi="宋体" w:eastAsia="宋体" w:cs="宋体"/>
                <w:color w:val="000000"/>
                <w:kern w:val="0"/>
                <w:sz w:val="15"/>
                <w:szCs w:val="15"/>
              </w:rPr>
            </w:pPr>
            <w:r>
              <w:rPr>
                <w:rFonts w:hint="eastAsia" w:ascii="宋体" w:hAnsi="宋体" w:eastAsia="宋体" w:cs="黑体"/>
                <w:color w:val="000000"/>
                <w:kern w:val="0"/>
                <w:sz w:val="15"/>
                <w:szCs w:val="15"/>
                <w:lang w:bidi="ar"/>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378" w:type="dxa"/>
            <w:vMerge w:val="continue"/>
            <w:vAlign w:val="center"/>
          </w:tcPr>
          <w:p>
            <w:pPr>
              <w:widowControl/>
              <w:spacing w:line="240" w:lineRule="exact"/>
              <w:jc w:val="center"/>
              <w:textAlignment w:val="center"/>
              <w:rPr>
                <w:rFonts w:ascii="宋体" w:hAnsi="宋体" w:eastAsia="宋体" w:cs="宋体"/>
                <w:color w:val="auto"/>
                <w:kern w:val="0"/>
                <w:sz w:val="15"/>
                <w:szCs w:val="15"/>
              </w:rPr>
            </w:pPr>
          </w:p>
        </w:tc>
        <w:tc>
          <w:tcPr>
            <w:tcW w:w="958" w:type="dxa"/>
            <w:vMerge w:val="continue"/>
            <w:vAlign w:val="center"/>
          </w:tcPr>
          <w:p>
            <w:pPr>
              <w:spacing w:line="240" w:lineRule="exact"/>
              <w:jc w:val="center"/>
              <w:textAlignment w:val="center"/>
              <w:rPr>
                <w:rFonts w:ascii="宋体" w:hAnsi="宋体" w:eastAsia="宋体" w:cs="宋体"/>
                <w:i/>
                <w:iCs/>
                <w:color w:val="auto"/>
                <w:kern w:val="0"/>
                <w:sz w:val="15"/>
                <w:szCs w:val="15"/>
              </w:rPr>
            </w:pPr>
          </w:p>
        </w:tc>
        <w:tc>
          <w:tcPr>
            <w:tcW w:w="1223" w:type="dxa"/>
            <w:vMerge w:val="continue"/>
            <w:vAlign w:val="center"/>
          </w:tcPr>
          <w:p>
            <w:pPr>
              <w:widowControl/>
              <w:spacing w:line="240" w:lineRule="exact"/>
              <w:jc w:val="left"/>
              <w:textAlignment w:val="center"/>
              <w:rPr>
                <w:rFonts w:ascii="宋体" w:hAnsi="宋体" w:eastAsia="宋体" w:cs="宋体"/>
                <w:color w:val="auto"/>
                <w:sz w:val="15"/>
                <w:szCs w:val="15"/>
              </w:rPr>
            </w:pPr>
          </w:p>
        </w:tc>
        <w:tc>
          <w:tcPr>
            <w:tcW w:w="888" w:type="dxa"/>
            <w:vMerge w:val="continue"/>
            <w:vAlign w:val="center"/>
          </w:tcPr>
          <w:p>
            <w:pPr>
              <w:widowControl/>
              <w:spacing w:line="240" w:lineRule="exact"/>
              <w:jc w:val="center"/>
              <w:textAlignment w:val="center"/>
              <w:rPr>
                <w:rFonts w:ascii="宋体" w:hAnsi="宋体" w:eastAsia="宋体" w:cs="宋体"/>
                <w:color w:val="auto"/>
                <w:sz w:val="15"/>
                <w:szCs w:val="15"/>
              </w:rPr>
            </w:pPr>
          </w:p>
        </w:tc>
        <w:tc>
          <w:tcPr>
            <w:tcW w:w="1179" w:type="dxa"/>
            <w:vAlign w:val="center"/>
          </w:tcPr>
          <w:p>
            <w:pPr>
              <w:widowControl/>
              <w:spacing w:line="240" w:lineRule="exact"/>
              <w:jc w:val="left"/>
              <w:textAlignment w:val="center"/>
              <w:rPr>
                <w:rFonts w:hint="eastAsia" w:ascii="宋体" w:hAnsi="宋体" w:eastAsia="宋体" w:cs="黑体"/>
                <w:color w:val="auto"/>
                <w:kern w:val="0"/>
                <w:sz w:val="15"/>
                <w:szCs w:val="15"/>
                <w:lang w:bidi="ar"/>
              </w:rPr>
            </w:pPr>
            <w:r>
              <w:rPr>
                <w:rFonts w:hint="eastAsia" w:ascii="宋体" w:hAnsi="宋体" w:eastAsia="宋体" w:cs="黑体"/>
                <w:color w:val="auto"/>
                <w:kern w:val="0"/>
                <w:sz w:val="15"/>
                <w:szCs w:val="15"/>
                <w:lang w:bidi="ar"/>
              </w:rPr>
              <w:t>分布式光伏项目</w:t>
            </w:r>
          </w:p>
        </w:tc>
        <w:tc>
          <w:tcPr>
            <w:tcW w:w="819" w:type="dxa"/>
            <w:vAlign w:val="center"/>
          </w:tcPr>
          <w:p>
            <w:pPr>
              <w:widowControl/>
              <w:spacing w:line="240" w:lineRule="exact"/>
              <w:jc w:val="center"/>
              <w:textAlignment w:val="center"/>
              <w:rPr>
                <w:rFonts w:hint="default" w:ascii="宋体" w:hAnsi="宋体" w:eastAsia="宋体" w:cs="黑体"/>
                <w:color w:val="auto"/>
                <w:kern w:val="0"/>
                <w:sz w:val="15"/>
                <w:szCs w:val="15"/>
                <w:lang w:val="en-US" w:eastAsia="zh-CN" w:bidi="ar"/>
              </w:rPr>
            </w:pPr>
            <w:r>
              <w:rPr>
                <w:rFonts w:hint="eastAsia" w:ascii="宋体" w:hAnsi="宋体" w:eastAsia="宋体" w:cs="黑体"/>
                <w:color w:val="auto"/>
                <w:kern w:val="0"/>
                <w:sz w:val="15"/>
                <w:szCs w:val="15"/>
                <w:lang w:val="en-US" w:eastAsia="zh-CN" w:bidi="ar"/>
              </w:rPr>
              <w:t>8875</w:t>
            </w:r>
          </w:p>
        </w:tc>
        <w:tc>
          <w:tcPr>
            <w:tcW w:w="640" w:type="dxa"/>
            <w:vAlign w:val="center"/>
          </w:tcPr>
          <w:p>
            <w:pPr>
              <w:widowControl/>
              <w:spacing w:line="240" w:lineRule="exact"/>
              <w:jc w:val="center"/>
              <w:textAlignment w:val="center"/>
              <w:rPr>
                <w:rFonts w:hint="eastAsia" w:ascii="宋体" w:hAnsi="宋体" w:eastAsia="宋体" w:cs="黑体"/>
                <w:color w:val="auto"/>
                <w:kern w:val="0"/>
                <w:sz w:val="15"/>
                <w:szCs w:val="15"/>
                <w:lang w:bidi="ar"/>
              </w:rPr>
            </w:pPr>
            <w:r>
              <w:rPr>
                <w:rFonts w:hint="eastAsia" w:ascii="宋体" w:hAnsi="宋体" w:eastAsia="宋体" w:cs="黑体"/>
                <w:color w:val="auto"/>
                <w:kern w:val="0"/>
                <w:sz w:val="15"/>
                <w:szCs w:val="15"/>
                <w:lang w:bidi="ar"/>
              </w:rPr>
              <w:t>自筹</w:t>
            </w:r>
          </w:p>
        </w:tc>
        <w:tc>
          <w:tcPr>
            <w:tcW w:w="3833" w:type="dxa"/>
            <w:vAlign w:val="center"/>
          </w:tcPr>
          <w:p>
            <w:pPr>
              <w:widowControl/>
              <w:spacing w:line="240" w:lineRule="exact"/>
              <w:jc w:val="left"/>
              <w:textAlignment w:val="center"/>
              <w:rPr>
                <w:rFonts w:hint="eastAsia" w:ascii="宋体" w:hAnsi="宋体" w:eastAsia="宋体" w:cs="黑体"/>
                <w:color w:val="auto"/>
                <w:kern w:val="0"/>
                <w:sz w:val="15"/>
                <w:szCs w:val="15"/>
                <w:lang w:bidi="ar"/>
              </w:rPr>
            </w:pPr>
            <w:r>
              <w:rPr>
                <w:rFonts w:hint="eastAsia" w:ascii="宋体" w:hAnsi="宋体" w:eastAsia="宋体" w:cs="黑体"/>
                <w:color w:val="auto"/>
                <w:kern w:val="0"/>
                <w:sz w:val="15"/>
                <w:szCs w:val="15"/>
                <w:lang w:bidi="ar"/>
              </w:rPr>
              <w:t>1.实现光伏并网发电，提高可再生清洁能源利用。</w:t>
            </w:r>
          </w:p>
          <w:p>
            <w:pPr>
              <w:widowControl/>
              <w:spacing w:line="240" w:lineRule="exact"/>
              <w:jc w:val="left"/>
              <w:textAlignment w:val="center"/>
              <w:rPr>
                <w:rFonts w:hint="eastAsia" w:ascii="宋体" w:hAnsi="宋体" w:eastAsia="宋体" w:cs="黑体"/>
                <w:color w:val="auto"/>
                <w:kern w:val="0"/>
                <w:sz w:val="15"/>
                <w:szCs w:val="15"/>
                <w:lang w:bidi="ar"/>
              </w:rPr>
            </w:pPr>
            <w:r>
              <w:rPr>
                <w:rFonts w:hint="eastAsia" w:ascii="宋体" w:hAnsi="宋体" w:eastAsia="宋体" w:cs="黑体"/>
                <w:color w:val="auto"/>
                <w:kern w:val="0"/>
                <w:sz w:val="15"/>
                <w:szCs w:val="15"/>
                <w:lang w:bidi="ar"/>
              </w:rPr>
              <w:t>2.光伏与电解铝耦合拓扑研究。</w:t>
            </w:r>
          </w:p>
          <w:p>
            <w:pPr>
              <w:widowControl/>
              <w:spacing w:line="240" w:lineRule="exact"/>
              <w:jc w:val="left"/>
              <w:textAlignment w:val="center"/>
              <w:rPr>
                <w:rFonts w:hint="eastAsia" w:ascii="宋体" w:hAnsi="宋体" w:eastAsia="宋体" w:cs="黑体"/>
                <w:color w:val="auto"/>
                <w:kern w:val="0"/>
                <w:sz w:val="15"/>
                <w:szCs w:val="15"/>
                <w:lang w:bidi="ar"/>
              </w:rPr>
            </w:pPr>
            <w:r>
              <w:rPr>
                <w:rFonts w:hint="eastAsia" w:ascii="宋体" w:hAnsi="宋体" w:eastAsia="宋体" w:cs="黑体"/>
                <w:color w:val="auto"/>
                <w:kern w:val="0"/>
                <w:sz w:val="15"/>
                <w:szCs w:val="15"/>
                <w:lang w:bidi="ar"/>
              </w:rPr>
              <w:t>3.支撑电解直流侧光伏接入的电解铝生产运行工况实时仿真研究。</w:t>
            </w:r>
          </w:p>
          <w:p>
            <w:pPr>
              <w:widowControl/>
              <w:spacing w:line="240" w:lineRule="exact"/>
              <w:jc w:val="left"/>
              <w:textAlignment w:val="center"/>
              <w:rPr>
                <w:rFonts w:hint="eastAsia" w:ascii="宋体" w:hAnsi="宋体" w:eastAsia="宋体" w:cs="黑体"/>
                <w:color w:val="auto"/>
                <w:kern w:val="0"/>
                <w:sz w:val="15"/>
                <w:szCs w:val="15"/>
                <w:lang w:bidi="ar"/>
              </w:rPr>
            </w:pPr>
            <w:r>
              <w:rPr>
                <w:rFonts w:hint="eastAsia" w:ascii="宋体" w:hAnsi="宋体" w:eastAsia="宋体" w:cs="黑体"/>
                <w:color w:val="auto"/>
                <w:kern w:val="0"/>
                <w:sz w:val="15"/>
                <w:szCs w:val="15"/>
                <w:lang w:bidi="ar"/>
              </w:rPr>
              <w:t>4.光伏发电互补协同的电解铝稳流控制策略研究。</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2022年4月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2023年5月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color w:val="auto"/>
                <w:sz w:val="15"/>
                <w:szCs w:val="15"/>
              </w:rPr>
            </w:pPr>
          </w:p>
        </w:tc>
        <w:tc>
          <w:tcPr>
            <w:tcW w:w="1729" w:type="dxa"/>
            <w:vMerge w:val="continue"/>
            <w:vAlign w:val="center"/>
          </w:tcPr>
          <w:p>
            <w:pPr>
              <w:widowControl/>
              <w:spacing w:line="240" w:lineRule="exact"/>
              <w:jc w:val="center"/>
              <w:textAlignment w:val="center"/>
              <w:rPr>
                <w:rFonts w:ascii="宋体" w:hAnsi="宋体" w:eastAsia="宋体" w:cs="宋体"/>
                <w:color w:val="auto"/>
                <w:kern w:val="0"/>
                <w:sz w:val="15"/>
                <w:szCs w:val="15"/>
              </w:rPr>
            </w:pPr>
          </w:p>
        </w:tc>
        <w:tc>
          <w:tcPr>
            <w:tcW w:w="1895" w:type="dxa"/>
            <w:vAlign w:val="center"/>
          </w:tcPr>
          <w:p>
            <w:pPr>
              <w:widowControl/>
              <w:spacing w:line="240" w:lineRule="exact"/>
              <w:jc w:val="center"/>
              <w:textAlignment w:val="center"/>
              <w:rPr>
                <w:rFonts w:hint="eastAsia" w:ascii="宋体" w:hAnsi="宋体" w:eastAsia="宋体" w:cs="黑体"/>
                <w:color w:val="auto"/>
                <w:kern w:val="0"/>
                <w:sz w:val="15"/>
                <w:szCs w:val="15"/>
                <w:lang w:bidi="ar"/>
              </w:rPr>
            </w:pPr>
            <w:r>
              <w:rPr>
                <w:rFonts w:hint="eastAsia" w:ascii="宋体" w:hAnsi="宋体" w:eastAsia="宋体" w:cs="黑体"/>
                <w:color w:val="auto"/>
                <w:kern w:val="0"/>
                <w:sz w:val="15"/>
                <w:szCs w:val="15"/>
                <w:lang w:bidi="ar"/>
              </w:rPr>
              <w:t>减少网购电折吨铝电耗约30kWh/t-AL</w:t>
            </w:r>
          </w:p>
        </w:tc>
        <w:tc>
          <w:tcPr>
            <w:tcW w:w="726" w:type="dxa"/>
            <w:vAlign w:val="center"/>
          </w:tcPr>
          <w:p>
            <w:pPr>
              <w:widowControl/>
              <w:spacing w:line="240" w:lineRule="exact"/>
              <w:jc w:val="center"/>
              <w:textAlignment w:val="center"/>
              <w:rPr>
                <w:rFonts w:hint="eastAsia" w:ascii="宋体" w:hAnsi="宋体" w:eastAsia="宋体" w:cs="黑体"/>
                <w:color w:val="auto"/>
                <w:kern w:val="0"/>
                <w:sz w:val="15"/>
                <w:szCs w:val="15"/>
                <w:lang w:bidi="ar"/>
              </w:rPr>
            </w:pPr>
            <w:r>
              <w:rPr>
                <w:rFonts w:hint="eastAsia" w:ascii="宋体" w:hAnsi="宋体" w:eastAsia="宋体" w:cs="黑体"/>
                <w:color w:val="auto"/>
                <w:kern w:val="0"/>
                <w:sz w:val="15"/>
                <w:szCs w:val="15"/>
                <w:lang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378" w:type="dxa"/>
            <w:vMerge w:val="continue"/>
            <w:vAlign w:val="center"/>
          </w:tcPr>
          <w:p>
            <w:pPr>
              <w:widowControl/>
              <w:spacing w:line="240" w:lineRule="exact"/>
              <w:jc w:val="center"/>
              <w:textAlignment w:val="center"/>
              <w:rPr>
                <w:rFonts w:ascii="宋体" w:hAnsi="宋体" w:eastAsia="宋体" w:cs="宋体"/>
                <w:color w:val="auto"/>
                <w:kern w:val="0"/>
                <w:sz w:val="15"/>
                <w:szCs w:val="15"/>
              </w:rPr>
            </w:pPr>
          </w:p>
        </w:tc>
        <w:tc>
          <w:tcPr>
            <w:tcW w:w="958" w:type="dxa"/>
            <w:vMerge w:val="continue"/>
            <w:vAlign w:val="center"/>
          </w:tcPr>
          <w:p>
            <w:pPr>
              <w:spacing w:line="240" w:lineRule="exact"/>
              <w:jc w:val="center"/>
              <w:textAlignment w:val="center"/>
              <w:rPr>
                <w:rFonts w:ascii="宋体" w:hAnsi="宋体" w:eastAsia="宋体" w:cs="宋体"/>
                <w:i/>
                <w:iCs/>
                <w:color w:val="auto"/>
                <w:kern w:val="0"/>
                <w:sz w:val="15"/>
                <w:szCs w:val="15"/>
              </w:rPr>
            </w:pPr>
          </w:p>
        </w:tc>
        <w:tc>
          <w:tcPr>
            <w:tcW w:w="1223" w:type="dxa"/>
            <w:vMerge w:val="continue"/>
            <w:vAlign w:val="center"/>
          </w:tcPr>
          <w:p>
            <w:pPr>
              <w:widowControl/>
              <w:spacing w:line="240" w:lineRule="exact"/>
              <w:jc w:val="left"/>
              <w:textAlignment w:val="center"/>
              <w:rPr>
                <w:rFonts w:ascii="宋体" w:hAnsi="宋体" w:eastAsia="宋体" w:cs="宋体"/>
                <w:color w:val="auto"/>
                <w:sz w:val="15"/>
                <w:szCs w:val="15"/>
              </w:rPr>
            </w:pPr>
          </w:p>
        </w:tc>
        <w:tc>
          <w:tcPr>
            <w:tcW w:w="888" w:type="dxa"/>
            <w:vMerge w:val="continue"/>
            <w:vAlign w:val="center"/>
          </w:tcPr>
          <w:p>
            <w:pPr>
              <w:widowControl/>
              <w:spacing w:line="240" w:lineRule="exact"/>
              <w:jc w:val="center"/>
              <w:textAlignment w:val="center"/>
              <w:rPr>
                <w:rFonts w:ascii="宋体" w:hAnsi="宋体" w:eastAsia="宋体" w:cs="宋体"/>
                <w:color w:val="auto"/>
                <w:sz w:val="15"/>
                <w:szCs w:val="15"/>
              </w:rPr>
            </w:pPr>
          </w:p>
        </w:tc>
        <w:tc>
          <w:tcPr>
            <w:tcW w:w="1179" w:type="dxa"/>
            <w:vAlign w:val="center"/>
          </w:tcPr>
          <w:p>
            <w:pPr>
              <w:widowControl/>
              <w:spacing w:line="240" w:lineRule="exact"/>
              <w:jc w:val="left"/>
              <w:textAlignment w:val="center"/>
              <w:rPr>
                <w:rFonts w:hint="eastAsia" w:ascii="宋体" w:hAnsi="宋体" w:eastAsia="宋体" w:cs="黑体"/>
                <w:color w:val="auto"/>
                <w:kern w:val="0"/>
                <w:sz w:val="15"/>
                <w:szCs w:val="15"/>
                <w:lang w:bidi="ar"/>
              </w:rPr>
            </w:pPr>
            <w:r>
              <w:rPr>
                <w:rFonts w:hint="eastAsia" w:ascii="宋体" w:hAnsi="宋体" w:eastAsia="宋体" w:cs="黑体"/>
                <w:color w:val="auto"/>
                <w:kern w:val="0"/>
                <w:sz w:val="15"/>
                <w:szCs w:val="15"/>
                <w:lang w:bidi="ar"/>
              </w:rPr>
              <w:t>阳极炭块开槽设备采购安装</w:t>
            </w:r>
          </w:p>
        </w:tc>
        <w:tc>
          <w:tcPr>
            <w:tcW w:w="819" w:type="dxa"/>
            <w:vAlign w:val="center"/>
          </w:tcPr>
          <w:p>
            <w:pPr>
              <w:widowControl/>
              <w:spacing w:line="240" w:lineRule="exact"/>
              <w:jc w:val="center"/>
              <w:textAlignment w:val="center"/>
              <w:rPr>
                <w:rFonts w:hint="default" w:ascii="宋体" w:hAnsi="宋体" w:eastAsia="宋体" w:cs="黑体"/>
                <w:color w:val="auto"/>
                <w:kern w:val="0"/>
                <w:sz w:val="15"/>
                <w:szCs w:val="15"/>
                <w:lang w:val="en-US" w:eastAsia="zh-CN" w:bidi="ar"/>
              </w:rPr>
            </w:pPr>
            <w:r>
              <w:rPr>
                <w:rFonts w:hint="eastAsia" w:ascii="宋体" w:hAnsi="宋体" w:eastAsia="宋体" w:cs="黑体"/>
                <w:color w:val="auto"/>
                <w:kern w:val="0"/>
                <w:sz w:val="15"/>
                <w:szCs w:val="15"/>
                <w:lang w:val="en-US" w:eastAsia="zh-CN" w:bidi="ar"/>
              </w:rPr>
              <w:t>600</w:t>
            </w:r>
          </w:p>
        </w:tc>
        <w:tc>
          <w:tcPr>
            <w:tcW w:w="640" w:type="dxa"/>
            <w:vAlign w:val="center"/>
          </w:tcPr>
          <w:p>
            <w:pPr>
              <w:widowControl/>
              <w:spacing w:line="240" w:lineRule="exact"/>
              <w:jc w:val="center"/>
              <w:textAlignment w:val="center"/>
              <w:rPr>
                <w:rFonts w:hint="eastAsia" w:ascii="宋体" w:hAnsi="宋体" w:eastAsia="宋体" w:cs="黑体"/>
                <w:color w:val="auto"/>
                <w:kern w:val="0"/>
                <w:sz w:val="15"/>
                <w:szCs w:val="15"/>
                <w:lang w:bidi="ar"/>
              </w:rPr>
            </w:pPr>
            <w:r>
              <w:rPr>
                <w:rFonts w:hint="eastAsia" w:ascii="宋体" w:hAnsi="宋体" w:eastAsia="宋体" w:cs="黑体"/>
                <w:color w:val="auto"/>
                <w:kern w:val="0"/>
                <w:sz w:val="15"/>
                <w:szCs w:val="15"/>
                <w:lang w:bidi="ar"/>
              </w:rPr>
              <w:t>自筹</w:t>
            </w:r>
          </w:p>
        </w:tc>
        <w:tc>
          <w:tcPr>
            <w:tcW w:w="3833" w:type="dxa"/>
            <w:vAlign w:val="center"/>
          </w:tcPr>
          <w:p>
            <w:pPr>
              <w:widowControl/>
              <w:spacing w:line="240" w:lineRule="exact"/>
              <w:jc w:val="left"/>
              <w:textAlignment w:val="center"/>
              <w:rPr>
                <w:rFonts w:hint="eastAsia" w:ascii="宋体" w:hAnsi="宋体" w:eastAsia="宋体" w:cs="黑体"/>
                <w:color w:val="auto"/>
                <w:kern w:val="0"/>
                <w:sz w:val="15"/>
                <w:szCs w:val="15"/>
                <w:lang w:bidi="ar"/>
              </w:rPr>
            </w:pPr>
            <w:r>
              <w:rPr>
                <w:rFonts w:hint="eastAsia" w:ascii="宋体" w:hAnsi="宋体" w:eastAsia="宋体" w:cs="黑体"/>
                <w:color w:val="auto"/>
                <w:kern w:val="0"/>
                <w:sz w:val="15"/>
                <w:szCs w:val="15"/>
                <w:lang w:bidi="ar"/>
              </w:rPr>
              <w:t>240系统加装1套（2台）开槽阳极设备，需采购安装开槽阳极设备。电解槽使用开槽阳极具有提高阳极导电性能、降低阳极效应、升高电流效率的优点，通过以上优点，最终达到降低系列电耗的目的。</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2022年10月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2023年12月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color w:val="auto"/>
                <w:sz w:val="15"/>
                <w:szCs w:val="15"/>
              </w:rPr>
            </w:pPr>
          </w:p>
        </w:tc>
        <w:tc>
          <w:tcPr>
            <w:tcW w:w="1729" w:type="dxa"/>
            <w:vMerge w:val="continue"/>
            <w:vAlign w:val="center"/>
          </w:tcPr>
          <w:p>
            <w:pPr>
              <w:widowControl/>
              <w:spacing w:line="240" w:lineRule="exact"/>
              <w:jc w:val="center"/>
              <w:textAlignment w:val="center"/>
              <w:rPr>
                <w:rFonts w:ascii="宋体" w:hAnsi="宋体" w:eastAsia="宋体" w:cs="宋体"/>
                <w:color w:val="auto"/>
                <w:kern w:val="0"/>
                <w:sz w:val="15"/>
                <w:szCs w:val="15"/>
              </w:rPr>
            </w:pPr>
          </w:p>
        </w:tc>
        <w:tc>
          <w:tcPr>
            <w:tcW w:w="1895" w:type="dxa"/>
            <w:vAlign w:val="center"/>
          </w:tcPr>
          <w:p>
            <w:pPr>
              <w:widowControl/>
              <w:spacing w:line="240" w:lineRule="exact"/>
              <w:jc w:val="center"/>
              <w:textAlignment w:val="center"/>
              <w:rPr>
                <w:rFonts w:hint="eastAsia" w:ascii="宋体" w:hAnsi="宋体" w:eastAsia="宋体" w:cs="黑体"/>
                <w:color w:val="auto"/>
                <w:kern w:val="0"/>
                <w:sz w:val="15"/>
                <w:szCs w:val="15"/>
                <w:lang w:bidi="ar"/>
              </w:rPr>
            </w:pPr>
            <w:r>
              <w:rPr>
                <w:rFonts w:hint="eastAsia" w:ascii="宋体" w:hAnsi="宋体" w:eastAsia="宋体" w:cs="黑体"/>
                <w:color w:val="auto"/>
                <w:kern w:val="0"/>
                <w:sz w:val="15"/>
                <w:szCs w:val="15"/>
                <w:lang w:bidi="ar"/>
              </w:rPr>
              <w:t>铝液电解交流电耗下降约10kWh/t-AL</w:t>
            </w:r>
          </w:p>
        </w:tc>
        <w:tc>
          <w:tcPr>
            <w:tcW w:w="726" w:type="dxa"/>
            <w:vAlign w:val="center"/>
          </w:tcPr>
          <w:p>
            <w:pPr>
              <w:widowControl/>
              <w:spacing w:line="240" w:lineRule="exact"/>
              <w:jc w:val="center"/>
              <w:textAlignment w:val="center"/>
              <w:rPr>
                <w:rFonts w:ascii="宋体" w:hAnsi="宋体" w:eastAsia="宋体" w:cs="黑体"/>
                <w:color w:val="auto"/>
                <w:kern w:val="0"/>
                <w:sz w:val="15"/>
                <w:szCs w:val="15"/>
                <w:lang w:bidi="ar"/>
              </w:rPr>
            </w:pPr>
            <w:r>
              <w:rPr>
                <w:rFonts w:hint="eastAsia" w:ascii="宋体" w:hAnsi="宋体" w:eastAsia="宋体" w:cs="黑体"/>
                <w:color w:val="auto"/>
                <w:kern w:val="0"/>
                <w:sz w:val="15"/>
                <w:szCs w:val="15"/>
                <w:lang w:bidi="ar"/>
              </w:rPr>
              <w:t>升级</w:t>
            </w:r>
          </w:p>
          <w:p>
            <w:pPr>
              <w:widowControl/>
              <w:spacing w:line="240" w:lineRule="exact"/>
              <w:jc w:val="center"/>
              <w:textAlignment w:val="center"/>
              <w:rPr>
                <w:rFonts w:hint="eastAsia" w:ascii="宋体" w:hAnsi="宋体" w:eastAsia="宋体" w:cs="黑体"/>
                <w:color w:val="auto"/>
                <w:kern w:val="0"/>
                <w:sz w:val="15"/>
                <w:szCs w:val="15"/>
                <w:lang w:bidi="ar"/>
              </w:rPr>
            </w:pPr>
            <w:r>
              <w:rPr>
                <w:rFonts w:hint="eastAsia" w:ascii="宋体" w:hAnsi="宋体" w:eastAsia="宋体" w:cs="黑体"/>
                <w:color w:val="auto"/>
                <w:kern w:val="0"/>
                <w:sz w:val="15"/>
                <w:szCs w:val="15"/>
                <w:lang w:bidi="ar"/>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378" w:type="dxa"/>
            <w:vMerge w:val="continue"/>
            <w:vAlign w:val="center"/>
          </w:tcPr>
          <w:p>
            <w:pPr>
              <w:widowControl/>
              <w:spacing w:line="240" w:lineRule="exact"/>
              <w:jc w:val="center"/>
              <w:textAlignment w:val="center"/>
              <w:rPr>
                <w:rFonts w:ascii="宋体" w:hAnsi="宋体" w:eastAsia="宋体" w:cs="宋体"/>
                <w:color w:val="auto"/>
                <w:kern w:val="0"/>
                <w:sz w:val="15"/>
                <w:szCs w:val="15"/>
              </w:rPr>
            </w:pPr>
          </w:p>
        </w:tc>
        <w:tc>
          <w:tcPr>
            <w:tcW w:w="958" w:type="dxa"/>
            <w:vMerge w:val="continue"/>
            <w:vAlign w:val="center"/>
          </w:tcPr>
          <w:p>
            <w:pPr>
              <w:spacing w:line="240" w:lineRule="exact"/>
              <w:jc w:val="center"/>
              <w:textAlignment w:val="center"/>
              <w:rPr>
                <w:rFonts w:ascii="宋体" w:hAnsi="宋体" w:eastAsia="宋体" w:cs="宋体"/>
                <w:i/>
                <w:iCs/>
                <w:color w:val="auto"/>
                <w:kern w:val="0"/>
                <w:sz w:val="15"/>
                <w:szCs w:val="15"/>
              </w:rPr>
            </w:pPr>
          </w:p>
        </w:tc>
        <w:tc>
          <w:tcPr>
            <w:tcW w:w="1223" w:type="dxa"/>
            <w:vMerge w:val="continue"/>
            <w:vAlign w:val="center"/>
          </w:tcPr>
          <w:p>
            <w:pPr>
              <w:widowControl/>
              <w:spacing w:line="240" w:lineRule="exact"/>
              <w:jc w:val="left"/>
              <w:textAlignment w:val="center"/>
              <w:rPr>
                <w:rFonts w:ascii="宋体" w:hAnsi="宋体" w:eastAsia="宋体" w:cs="宋体"/>
                <w:color w:val="auto"/>
                <w:sz w:val="15"/>
                <w:szCs w:val="15"/>
              </w:rPr>
            </w:pPr>
          </w:p>
        </w:tc>
        <w:tc>
          <w:tcPr>
            <w:tcW w:w="888" w:type="dxa"/>
            <w:vMerge w:val="continue"/>
            <w:vAlign w:val="center"/>
          </w:tcPr>
          <w:p>
            <w:pPr>
              <w:widowControl/>
              <w:spacing w:line="240" w:lineRule="exact"/>
              <w:jc w:val="center"/>
              <w:textAlignment w:val="center"/>
              <w:rPr>
                <w:rFonts w:ascii="宋体" w:hAnsi="宋体" w:eastAsia="宋体" w:cs="宋体"/>
                <w:color w:val="auto"/>
                <w:sz w:val="15"/>
                <w:szCs w:val="15"/>
              </w:rPr>
            </w:pPr>
          </w:p>
        </w:tc>
        <w:tc>
          <w:tcPr>
            <w:tcW w:w="1179" w:type="dxa"/>
            <w:vAlign w:val="center"/>
          </w:tcPr>
          <w:p>
            <w:pPr>
              <w:widowControl/>
              <w:spacing w:line="240" w:lineRule="exact"/>
              <w:jc w:val="left"/>
              <w:textAlignment w:val="center"/>
              <w:rPr>
                <w:rFonts w:hint="eastAsia" w:ascii="宋体" w:hAnsi="宋体" w:eastAsia="宋体" w:cs="黑体"/>
                <w:color w:val="auto"/>
                <w:kern w:val="0"/>
                <w:sz w:val="15"/>
                <w:szCs w:val="15"/>
                <w:lang w:bidi="ar"/>
              </w:rPr>
            </w:pPr>
            <w:r>
              <w:rPr>
                <w:rFonts w:hint="eastAsia" w:ascii="宋体" w:hAnsi="宋体" w:eastAsia="宋体" w:cs="黑体"/>
                <w:color w:val="auto"/>
                <w:kern w:val="0"/>
                <w:sz w:val="15"/>
                <w:szCs w:val="15"/>
                <w:lang w:bidi="ar"/>
              </w:rPr>
              <w:t>330系列节能型钢爪</w:t>
            </w:r>
          </w:p>
        </w:tc>
        <w:tc>
          <w:tcPr>
            <w:tcW w:w="819" w:type="dxa"/>
            <w:vAlign w:val="center"/>
          </w:tcPr>
          <w:p>
            <w:pPr>
              <w:widowControl/>
              <w:spacing w:line="240" w:lineRule="exact"/>
              <w:jc w:val="center"/>
              <w:textAlignment w:val="center"/>
              <w:rPr>
                <w:rFonts w:hint="default" w:ascii="宋体" w:hAnsi="宋体" w:eastAsia="宋体" w:cs="黑体"/>
                <w:color w:val="auto"/>
                <w:kern w:val="0"/>
                <w:sz w:val="15"/>
                <w:szCs w:val="15"/>
                <w:lang w:val="en-US" w:eastAsia="zh-CN" w:bidi="ar"/>
              </w:rPr>
            </w:pPr>
            <w:r>
              <w:rPr>
                <w:rFonts w:hint="eastAsia" w:ascii="宋体" w:hAnsi="宋体" w:eastAsia="宋体" w:cs="黑体"/>
                <w:color w:val="auto"/>
                <w:kern w:val="0"/>
                <w:sz w:val="15"/>
                <w:szCs w:val="15"/>
                <w:lang w:val="en-US" w:eastAsia="zh-CN" w:bidi="ar"/>
              </w:rPr>
              <w:t>2100</w:t>
            </w:r>
          </w:p>
        </w:tc>
        <w:tc>
          <w:tcPr>
            <w:tcW w:w="640" w:type="dxa"/>
            <w:vAlign w:val="center"/>
          </w:tcPr>
          <w:p>
            <w:pPr>
              <w:widowControl/>
              <w:spacing w:line="240" w:lineRule="exact"/>
              <w:jc w:val="center"/>
              <w:textAlignment w:val="center"/>
              <w:rPr>
                <w:rFonts w:hint="eastAsia" w:ascii="宋体" w:hAnsi="宋体" w:eastAsia="宋体" w:cs="黑体"/>
                <w:color w:val="auto"/>
                <w:kern w:val="0"/>
                <w:sz w:val="15"/>
                <w:szCs w:val="15"/>
                <w:lang w:bidi="ar"/>
              </w:rPr>
            </w:pPr>
            <w:r>
              <w:rPr>
                <w:rFonts w:hint="eastAsia" w:ascii="宋体" w:hAnsi="宋体" w:eastAsia="宋体" w:cs="黑体"/>
                <w:color w:val="auto"/>
                <w:kern w:val="0"/>
                <w:sz w:val="15"/>
                <w:szCs w:val="15"/>
                <w:lang w:bidi="ar"/>
              </w:rPr>
              <w:t>自筹</w:t>
            </w:r>
          </w:p>
        </w:tc>
        <w:tc>
          <w:tcPr>
            <w:tcW w:w="3833" w:type="dxa"/>
            <w:vAlign w:val="center"/>
          </w:tcPr>
          <w:p>
            <w:pPr>
              <w:widowControl/>
              <w:spacing w:line="240" w:lineRule="exact"/>
              <w:jc w:val="left"/>
              <w:textAlignment w:val="center"/>
              <w:rPr>
                <w:rFonts w:hint="eastAsia" w:ascii="宋体" w:hAnsi="宋体" w:eastAsia="宋体" w:cs="黑体"/>
                <w:color w:val="auto"/>
                <w:kern w:val="0"/>
                <w:sz w:val="15"/>
                <w:szCs w:val="15"/>
                <w:lang w:bidi="ar"/>
              </w:rPr>
            </w:pPr>
            <w:r>
              <w:rPr>
                <w:rFonts w:hint="eastAsia" w:ascii="宋体" w:hAnsi="宋体" w:eastAsia="宋体" w:cs="黑体"/>
                <w:color w:val="auto"/>
                <w:kern w:val="0"/>
                <w:sz w:val="15"/>
                <w:szCs w:val="15"/>
                <w:lang w:bidi="ar"/>
              </w:rPr>
              <w:t>2023年330系列节能型钢爪计划外购9000件（含结构性钢爪7500件及复合型钢爪1500件），达到对330系列部分铸钢爪更换为节能型结构性钢爪的目的。</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2022年10月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2023年12月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color w:val="auto"/>
                <w:sz w:val="15"/>
                <w:szCs w:val="15"/>
              </w:rPr>
            </w:pPr>
          </w:p>
        </w:tc>
        <w:tc>
          <w:tcPr>
            <w:tcW w:w="1729" w:type="dxa"/>
            <w:vMerge w:val="continue"/>
            <w:vAlign w:val="center"/>
          </w:tcPr>
          <w:p>
            <w:pPr>
              <w:widowControl/>
              <w:spacing w:line="240" w:lineRule="exact"/>
              <w:jc w:val="center"/>
              <w:textAlignment w:val="center"/>
              <w:rPr>
                <w:rFonts w:ascii="宋体" w:hAnsi="宋体" w:eastAsia="宋体" w:cs="宋体"/>
                <w:color w:val="auto"/>
                <w:kern w:val="0"/>
                <w:sz w:val="15"/>
                <w:szCs w:val="15"/>
              </w:rPr>
            </w:pPr>
          </w:p>
        </w:tc>
        <w:tc>
          <w:tcPr>
            <w:tcW w:w="1895" w:type="dxa"/>
            <w:vAlign w:val="center"/>
          </w:tcPr>
          <w:p>
            <w:pPr>
              <w:widowControl/>
              <w:spacing w:line="240" w:lineRule="exact"/>
              <w:jc w:val="center"/>
              <w:textAlignment w:val="center"/>
              <w:rPr>
                <w:rFonts w:hint="eastAsia" w:ascii="宋体" w:hAnsi="宋体" w:eastAsia="宋体" w:cs="黑体"/>
                <w:color w:val="auto"/>
                <w:kern w:val="0"/>
                <w:sz w:val="15"/>
                <w:szCs w:val="15"/>
                <w:lang w:bidi="ar"/>
              </w:rPr>
            </w:pPr>
            <w:r>
              <w:rPr>
                <w:rFonts w:hint="eastAsia" w:ascii="宋体" w:hAnsi="宋体" w:eastAsia="宋体" w:cs="黑体"/>
                <w:color w:val="auto"/>
                <w:kern w:val="0"/>
                <w:sz w:val="15"/>
                <w:szCs w:val="15"/>
                <w:lang w:bidi="ar"/>
              </w:rPr>
              <w:t>铝液电解交流电耗下降约5kWh/t-AL</w:t>
            </w:r>
          </w:p>
        </w:tc>
        <w:tc>
          <w:tcPr>
            <w:tcW w:w="726" w:type="dxa"/>
            <w:vAlign w:val="center"/>
          </w:tcPr>
          <w:p>
            <w:pPr>
              <w:widowControl/>
              <w:spacing w:line="240" w:lineRule="exact"/>
              <w:jc w:val="center"/>
              <w:textAlignment w:val="center"/>
              <w:rPr>
                <w:rFonts w:ascii="宋体" w:hAnsi="宋体" w:eastAsia="宋体" w:cs="黑体"/>
                <w:color w:val="auto"/>
                <w:kern w:val="0"/>
                <w:sz w:val="15"/>
                <w:szCs w:val="15"/>
                <w:lang w:bidi="ar"/>
              </w:rPr>
            </w:pPr>
            <w:r>
              <w:rPr>
                <w:rFonts w:hint="eastAsia" w:ascii="宋体" w:hAnsi="宋体" w:eastAsia="宋体" w:cs="黑体"/>
                <w:color w:val="auto"/>
                <w:kern w:val="0"/>
                <w:sz w:val="15"/>
                <w:szCs w:val="15"/>
                <w:lang w:bidi="ar"/>
              </w:rPr>
              <w:t>升级</w:t>
            </w:r>
          </w:p>
          <w:p>
            <w:pPr>
              <w:widowControl/>
              <w:spacing w:line="240" w:lineRule="exact"/>
              <w:jc w:val="center"/>
              <w:textAlignment w:val="center"/>
              <w:rPr>
                <w:rFonts w:hint="eastAsia" w:ascii="宋体" w:hAnsi="宋体" w:eastAsia="宋体" w:cs="黑体"/>
                <w:color w:val="auto"/>
                <w:kern w:val="0"/>
                <w:sz w:val="15"/>
                <w:szCs w:val="15"/>
                <w:lang w:bidi="ar"/>
              </w:rPr>
            </w:pPr>
            <w:r>
              <w:rPr>
                <w:rFonts w:hint="eastAsia" w:ascii="宋体" w:hAnsi="宋体" w:eastAsia="宋体" w:cs="黑体"/>
                <w:color w:val="auto"/>
                <w:kern w:val="0"/>
                <w:sz w:val="15"/>
                <w:szCs w:val="15"/>
                <w:lang w:bidi="ar"/>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378" w:type="dxa"/>
            <w:vMerge w:val="continue"/>
            <w:vAlign w:val="center"/>
          </w:tcPr>
          <w:p>
            <w:pPr>
              <w:widowControl/>
              <w:spacing w:line="240" w:lineRule="exact"/>
              <w:jc w:val="center"/>
              <w:textAlignment w:val="center"/>
              <w:rPr>
                <w:rFonts w:ascii="宋体" w:hAnsi="宋体" w:eastAsia="宋体" w:cs="宋体"/>
                <w:color w:val="auto"/>
                <w:kern w:val="0"/>
                <w:sz w:val="15"/>
                <w:szCs w:val="15"/>
              </w:rPr>
            </w:pPr>
          </w:p>
        </w:tc>
        <w:tc>
          <w:tcPr>
            <w:tcW w:w="958" w:type="dxa"/>
            <w:vMerge w:val="continue"/>
            <w:vAlign w:val="center"/>
          </w:tcPr>
          <w:p>
            <w:pPr>
              <w:spacing w:line="240" w:lineRule="exact"/>
              <w:jc w:val="center"/>
              <w:textAlignment w:val="center"/>
              <w:rPr>
                <w:rFonts w:ascii="宋体" w:hAnsi="宋体" w:eastAsia="宋体" w:cs="宋体"/>
                <w:i/>
                <w:iCs/>
                <w:color w:val="auto"/>
                <w:kern w:val="0"/>
                <w:sz w:val="15"/>
                <w:szCs w:val="15"/>
              </w:rPr>
            </w:pPr>
          </w:p>
        </w:tc>
        <w:tc>
          <w:tcPr>
            <w:tcW w:w="1223" w:type="dxa"/>
            <w:vMerge w:val="continue"/>
            <w:vAlign w:val="center"/>
          </w:tcPr>
          <w:p>
            <w:pPr>
              <w:widowControl/>
              <w:spacing w:line="240" w:lineRule="exact"/>
              <w:jc w:val="left"/>
              <w:textAlignment w:val="center"/>
              <w:rPr>
                <w:rFonts w:ascii="宋体" w:hAnsi="宋体" w:eastAsia="宋体" w:cs="宋体"/>
                <w:color w:val="auto"/>
                <w:sz w:val="15"/>
                <w:szCs w:val="15"/>
              </w:rPr>
            </w:pPr>
          </w:p>
        </w:tc>
        <w:tc>
          <w:tcPr>
            <w:tcW w:w="888" w:type="dxa"/>
            <w:vMerge w:val="continue"/>
            <w:vAlign w:val="center"/>
          </w:tcPr>
          <w:p>
            <w:pPr>
              <w:widowControl/>
              <w:spacing w:line="240" w:lineRule="exact"/>
              <w:jc w:val="center"/>
              <w:textAlignment w:val="center"/>
              <w:rPr>
                <w:rFonts w:ascii="宋体" w:hAnsi="宋体" w:eastAsia="宋体" w:cs="宋体"/>
                <w:color w:val="auto"/>
                <w:sz w:val="15"/>
                <w:szCs w:val="15"/>
              </w:rPr>
            </w:pPr>
          </w:p>
        </w:tc>
        <w:tc>
          <w:tcPr>
            <w:tcW w:w="1179" w:type="dxa"/>
            <w:vAlign w:val="center"/>
          </w:tcPr>
          <w:p>
            <w:pPr>
              <w:widowControl/>
              <w:spacing w:line="240" w:lineRule="exact"/>
              <w:jc w:val="left"/>
              <w:textAlignment w:val="center"/>
              <w:rPr>
                <w:rFonts w:hint="eastAsia" w:ascii="宋体" w:hAnsi="宋体" w:eastAsia="宋体" w:cs="黑体"/>
                <w:color w:val="auto"/>
                <w:kern w:val="0"/>
                <w:sz w:val="15"/>
                <w:szCs w:val="15"/>
                <w:lang w:bidi="ar"/>
              </w:rPr>
            </w:pPr>
            <w:r>
              <w:rPr>
                <w:rFonts w:hint="eastAsia" w:ascii="宋体" w:hAnsi="宋体" w:eastAsia="宋体" w:cs="黑体"/>
                <w:color w:val="auto"/>
                <w:kern w:val="0"/>
                <w:sz w:val="15"/>
                <w:szCs w:val="15"/>
                <w:lang w:bidi="ar"/>
              </w:rPr>
              <w:t>电解烟气净化增加脱硫系统</w:t>
            </w:r>
          </w:p>
        </w:tc>
        <w:tc>
          <w:tcPr>
            <w:tcW w:w="819" w:type="dxa"/>
            <w:vAlign w:val="center"/>
          </w:tcPr>
          <w:p>
            <w:pPr>
              <w:widowControl/>
              <w:spacing w:line="240" w:lineRule="exact"/>
              <w:jc w:val="center"/>
              <w:textAlignment w:val="center"/>
              <w:rPr>
                <w:rFonts w:hint="default" w:ascii="宋体" w:hAnsi="宋体" w:eastAsia="宋体" w:cs="黑体"/>
                <w:color w:val="auto"/>
                <w:kern w:val="0"/>
                <w:sz w:val="15"/>
                <w:szCs w:val="15"/>
                <w:lang w:val="en-US" w:eastAsia="zh-CN" w:bidi="ar"/>
              </w:rPr>
            </w:pPr>
            <w:r>
              <w:rPr>
                <w:rFonts w:hint="eastAsia" w:ascii="宋体" w:hAnsi="宋体" w:eastAsia="宋体" w:cs="黑体"/>
                <w:color w:val="auto"/>
                <w:kern w:val="0"/>
                <w:sz w:val="15"/>
                <w:szCs w:val="15"/>
                <w:lang w:val="en-US" w:eastAsia="zh-CN" w:bidi="ar"/>
              </w:rPr>
              <w:t>5000</w:t>
            </w:r>
          </w:p>
        </w:tc>
        <w:tc>
          <w:tcPr>
            <w:tcW w:w="640" w:type="dxa"/>
            <w:vAlign w:val="center"/>
          </w:tcPr>
          <w:p>
            <w:pPr>
              <w:widowControl/>
              <w:spacing w:line="240" w:lineRule="exact"/>
              <w:jc w:val="center"/>
              <w:textAlignment w:val="center"/>
              <w:rPr>
                <w:rFonts w:hint="eastAsia" w:ascii="宋体" w:hAnsi="宋体" w:eastAsia="宋体" w:cs="黑体"/>
                <w:color w:val="auto"/>
                <w:kern w:val="0"/>
                <w:sz w:val="15"/>
                <w:szCs w:val="15"/>
                <w:lang w:bidi="ar"/>
              </w:rPr>
            </w:pPr>
            <w:r>
              <w:rPr>
                <w:rFonts w:hint="eastAsia" w:ascii="宋体" w:hAnsi="宋体" w:eastAsia="宋体" w:cs="黑体"/>
                <w:color w:val="auto"/>
                <w:kern w:val="0"/>
                <w:sz w:val="15"/>
                <w:szCs w:val="15"/>
                <w:lang w:bidi="ar"/>
              </w:rPr>
              <w:t>自筹</w:t>
            </w:r>
          </w:p>
        </w:tc>
        <w:tc>
          <w:tcPr>
            <w:tcW w:w="3833" w:type="dxa"/>
            <w:vAlign w:val="center"/>
          </w:tcPr>
          <w:p>
            <w:pPr>
              <w:widowControl/>
              <w:spacing w:line="240" w:lineRule="exact"/>
              <w:jc w:val="left"/>
              <w:textAlignment w:val="center"/>
              <w:rPr>
                <w:rFonts w:hint="eastAsia" w:ascii="宋体" w:hAnsi="宋体" w:eastAsia="宋体" w:cs="黑体"/>
                <w:color w:val="auto"/>
                <w:kern w:val="0"/>
                <w:sz w:val="15"/>
                <w:szCs w:val="15"/>
                <w:lang w:bidi="ar"/>
              </w:rPr>
            </w:pPr>
            <w:r>
              <w:rPr>
                <w:rFonts w:hint="eastAsia" w:ascii="宋体" w:hAnsi="宋体" w:eastAsia="宋体" w:cs="黑体"/>
                <w:color w:val="auto"/>
                <w:kern w:val="0"/>
                <w:sz w:val="15"/>
                <w:szCs w:val="15"/>
                <w:lang w:bidi="ar"/>
              </w:rPr>
              <w:t>在330电解系列的原有烟气干法净化系统上增加半干法或湿法烟气脱硫系统，共增加2套，大幅度降低污染物排放。实施脱硫项目后，积极争取阶梯电价政策，剔除排烟风机电量。</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2022年10月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2023年12月</w:t>
            </w:r>
          </w:p>
        </w:tc>
        <w:tc>
          <w:tcPr>
            <w:tcW w:w="1729" w:type="dxa"/>
            <w:vMerge w:val="continue"/>
            <w:vAlign w:val="center"/>
          </w:tcPr>
          <w:p>
            <w:pPr>
              <w:widowControl/>
              <w:spacing w:line="240" w:lineRule="exact"/>
              <w:jc w:val="center"/>
              <w:textAlignment w:val="center"/>
              <w:rPr>
                <w:rFonts w:ascii="宋体" w:hAnsi="宋体" w:eastAsia="宋体" w:cs="宋体"/>
                <w:color w:val="auto"/>
                <w:kern w:val="0"/>
                <w:sz w:val="15"/>
                <w:szCs w:val="15"/>
              </w:rPr>
            </w:pPr>
          </w:p>
        </w:tc>
        <w:tc>
          <w:tcPr>
            <w:tcW w:w="1895" w:type="dxa"/>
            <w:vAlign w:val="center"/>
          </w:tcPr>
          <w:p>
            <w:pPr>
              <w:widowControl/>
              <w:spacing w:line="240" w:lineRule="exact"/>
              <w:jc w:val="center"/>
              <w:textAlignment w:val="center"/>
              <w:rPr>
                <w:rFonts w:hint="eastAsia" w:ascii="宋体" w:hAnsi="宋体" w:eastAsia="宋体" w:cs="黑体"/>
                <w:color w:val="auto"/>
                <w:kern w:val="0"/>
                <w:sz w:val="15"/>
                <w:szCs w:val="15"/>
                <w:lang w:bidi="ar"/>
              </w:rPr>
            </w:pPr>
            <w:r>
              <w:rPr>
                <w:rFonts w:hint="eastAsia" w:ascii="宋体" w:hAnsi="宋体" w:eastAsia="宋体" w:cs="黑体"/>
                <w:color w:val="auto"/>
                <w:kern w:val="0"/>
                <w:sz w:val="15"/>
                <w:szCs w:val="15"/>
                <w:lang w:bidi="ar"/>
              </w:rPr>
              <w:t>动力电单耗下降约5kWh/t-AL</w:t>
            </w:r>
          </w:p>
        </w:tc>
        <w:tc>
          <w:tcPr>
            <w:tcW w:w="726" w:type="dxa"/>
            <w:vAlign w:val="center"/>
          </w:tcPr>
          <w:p>
            <w:pPr>
              <w:widowControl/>
              <w:spacing w:line="240" w:lineRule="exact"/>
              <w:jc w:val="center"/>
              <w:textAlignment w:val="center"/>
              <w:rPr>
                <w:rFonts w:ascii="宋体" w:hAnsi="宋体" w:eastAsia="宋体" w:cs="黑体"/>
                <w:color w:val="auto"/>
                <w:kern w:val="0"/>
                <w:sz w:val="15"/>
                <w:szCs w:val="15"/>
                <w:lang w:bidi="ar"/>
              </w:rPr>
            </w:pPr>
            <w:r>
              <w:rPr>
                <w:rFonts w:hint="eastAsia" w:ascii="宋体" w:hAnsi="宋体" w:eastAsia="宋体" w:cs="黑体"/>
                <w:color w:val="auto"/>
                <w:kern w:val="0"/>
                <w:sz w:val="15"/>
                <w:szCs w:val="15"/>
                <w:lang w:bidi="ar"/>
              </w:rPr>
              <w:t>升级</w:t>
            </w:r>
          </w:p>
          <w:p>
            <w:pPr>
              <w:widowControl/>
              <w:spacing w:line="240" w:lineRule="exact"/>
              <w:jc w:val="center"/>
              <w:textAlignment w:val="center"/>
              <w:rPr>
                <w:rFonts w:hint="eastAsia" w:ascii="宋体" w:hAnsi="宋体" w:eastAsia="宋体" w:cs="黑体"/>
                <w:color w:val="auto"/>
                <w:kern w:val="0"/>
                <w:sz w:val="15"/>
                <w:szCs w:val="15"/>
                <w:lang w:bidi="ar"/>
              </w:rPr>
            </w:pPr>
            <w:r>
              <w:rPr>
                <w:rFonts w:hint="eastAsia" w:ascii="宋体" w:hAnsi="宋体" w:eastAsia="宋体" w:cs="黑体"/>
                <w:color w:val="auto"/>
                <w:kern w:val="0"/>
                <w:sz w:val="15"/>
                <w:szCs w:val="15"/>
                <w:lang w:bidi="ar"/>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378" w:type="dxa"/>
            <w:vMerge w:val="continue"/>
            <w:vAlign w:val="center"/>
          </w:tcPr>
          <w:p>
            <w:pPr>
              <w:widowControl/>
              <w:spacing w:line="240" w:lineRule="exact"/>
              <w:jc w:val="center"/>
              <w:textAlignment w:val="center"/>
              <w:rPr>
                <w:rFonts w:ascii="宋体" w:hAnsi="宋体" w:eastAsia="宋体" w:cs="宋体"/>
                <w:color w:val="auto"/>
                <w:kern w:val="0"/>
                <w:sz w:val="15"/>
                <w:szCs w:val="15"/>
              </w:rPr>
            </w:pPr>
          </w:p>
        </w:tc>
        <w:tc>
          <w:tcPr>
            <w:tcW w:w="958" w:type="dxa"/>
            <w:vMerge w:val="continue"/>
            <w:vAlign w:val="center"/>
          </w:tcPr>
          <w:p>
            <w:pPr>
              <w:spacing w:line="240" w:lineRule="exact"/>
              <w:jc w:val="center"/>
              <w:textAlignment w:val="center"/>
              <w:rPr>
                <w:rFonts w:ascii="宋体" w:hAnsi="宋体" w:eastAsia="宋体" w:cs="宋体"/>
                <w:i/>
                <w:iCs/>
                <w:color w:val="auto"/>
                <w:kern w:val="0"/>
                <w:sz w:val="15"/>
                <w:szCs w:val="15"/>
              </w:rPr>
            </w:pPr>
          </w:p>
        </w:tc>
        <w:tc>
          <w:tcPr>
            <w:tcW w:w="1223" w:type="dxa"/>
            <w:vMerge w:val="continue"/>
            <w:vAlign w:val="center"/>
          </w:tcPr>
          <w:p>
            <w:pPr>
              <w:widowControl/>
              <w:spacing w:line="240" w:lineRule="exact"/>
              <w:jc w:val="left"/>
              <w:textAlignment w:val="center"/>
              <w:rPr>
                <w:rFonts w:ascii="宋体" w:hAnsi="宋体" w:eastAsia="宋体" w:cs="宋体"/>
                <w:color w:val="auto"/>
                <w:sz w:val="15"/>
                <w:szCs w:val="15"/>
              </w:rPr>
            </w:pPr>
          </w:p>
        </w:tc>
        <w:tc>
          <w:tcPr>
            <w:tcW w:w="888" w:type="dxa"/>
            <w:vMerge w:val="continue"/>
            <w:vAlign w:val="center"/>
          </w:tcPr>
          <w:p>
            <w:pPr>
              <w:widowControl/>
              <w:spacing w:line="240" w:lineRule="exact"/>
              <w:jc w:val="center"/>
              <w:textAlignment w:val="center"/>
              <w:rPr>
                <w:rFonts w:ascii="宋体" w:hAnsi="宋体" w:eastAsia="宋体" w:cs="宋体"/>
                <w:color w:val="auto"/>
                <w:sz w:val="15"/>
                <w:szCs w:val="15"/>
              </w:rPr>
            </w:pPr>
          </w:p>
        </w:tc>
        <w:tc>
          <w:tcPr>
            <w:tcW w:w="1179" w:type="dxa"/>
            <w:vAlign w:val="center"/>
          </w:tcPr>
          <w:p>
            <w:pPr>
              <w:widowControl/>
              <w:spacing w:line="240" w:lineRule="exact"/>
              <w:jc w:val="left"/>
              <w:textAlignment w:val="center"/>
              <w:rPr>
                <w:rFonts w:hint="eastAsia" w:ascii="宋体" w:hAnsi="宋体" w:eastAsia="宋体" w:cs="黑体"/>
                <w:color w:val="auto"/>
                <w:kern w:val="0"/>
                <w:sz w:val="15"/>
                <w:szCs w:val="15"/>
                <w:lang w:bidi="ar"/>
              </w:rPr>
            </w:pPr>
            <w:r>
              <w:rPr>
                <w:rFonts w:hint="eastAsia" w:ascii="宋体" w:hAnsi="宋体" w:eastAsia="宋体" w:cs="黑体"/>
                <w:color w:val="auto"/>
                <w:kern w:val="0"/>
                <w:sz w:val="15"/>
                <w:szCs w:val="15"/>
                <w:lang w:bidi="ar"/>
              </w:rPr>
              <w:t>阳极导杆激光清洗项目</w:t>
            </w:r>
          </w:p>
        </w:tc>
        <w:tc>
          <w:tcPr>
            <w:tcW w:w="819" w:type="dxa"/>
            <w:vAlign w:val="center"/>
          </w:tcPr>
          <w:p>
            <w:pPr>
              <w:widowControl/>
              <w:spacing w:line="240" w:lineRule="exact"/>
              <w:jc w:val="center"/>
              <w:textAlignment w:val="center"/>
              <w:rPr>
                <w:rFonts w:hint="default" w:ascii="宋体" w:hAnsi="宋体" w:eastAsia="宋体" w:cs="黑体"/>
                <w:color w:val="auto"/>
                <w:kern w:val="0"/>
                <w:sz w:val="15"/>
                <w:szCs w:val="15"/>
                <w:lang w:val="en-US" w:eastAsia="zh-CN" w:bidi="ar"/>
              </w:rPr>
            </w:pPr>
            <w:r>
              <w:rPr>
                <w:rFonts w:hint="eastAsia" w:ascii="宋体" w:hAnsi="宋体" w:eastAsia="宋体" w:cs="黑体"/>
                <w:color w:val="auto"/>
                <w:kern w:val="0"/>
                <w:sz w:val="15"/>
                <w:szCs w:val="15"/>
                <w:lang w:val="en-US" w:eastAsia="zh-CN" w:bidi="ar"/>
              </w:rPr>
              <w:t>100</w:t>
            </w:r>
          </w:p>
        </w:tc>
        <w:tc>
          <w:tcPr>
            <w:tcW w:w="640" w:type="dxa"/>
            <w:vAlign w:val="center"/>
          </w:tcPr>
          <w:p>
            <w:pPr>
              <w:widowControl/>
              <w:spacing w:line="240" w:lineRule="exact"/>
              <w:jc w:val="center"/>
              <w:textAlignment w:val="center"/>
              <w:rPr>
                <w:rFonts w:hint="eastAsia" w:ascii="宋体" w:hAnsi="宋体" w:eastAsia="宋体" w:cs="黑体"/>
                <w:color w:val="auto"/>
                <w:kern w:val="0"/>
                <w:sz w:val="15"/>
                <w:szCs w:val="15"/>
                <w:lang w:bidi="ar"/>
              </w:rPr>
            </w:pPr>
            <w:r>
              <w:rPr>
                <w:rFonts w:hint="eastAsia" w:ascii="宋体" w:hAnsi="宋体" w:eastAsia="宋体" w:cs="黑体"/>
                <w:color w:val="auto"/>
                <w:kern w:val="0"/>
                <w:sz w:val="15"/>
                <w:szCs w:val="15"/>
                <w:lang w:bidi="ar"/>
              </w:rPr>
              <w:t>自筹</w:t>
            </w:r>
          </w:p>
        </w:tc>
        <w:tc>
          <w:tcPr>
            <w:tcW w:w="3833" w:type="dxa"/>
            <w:vAlign w:val="center"/>
          </w:tcPr>
          <w:p>
            <w:pPr>
              <w:widowControl/>
              <w:spacing w:line="240" w:lineRule="exact"/>
              <w:jc w:val="left"/>
              <w:textAlignment w:val="center"/>
              <w:rPr>
                <w:rFonts w:hint="eastAsia" w:ascii="宋体" w:hAnsi="宋体" w:eastAsia="宋体" w:cs="黑体"/>
                <w:color w:val="auto"/>
                <w:kern w:val="0"/>
                <w:sz w:val="15"/>
                <w:szCs w:val="15"/>
                <w:lang w:eastAsia="zh-CN" w:bidi="ar"/>
              </w:rPr>
            </w:pPr>
            <w:r>
              <w:rPr>
                <w:rFonts w:hint="eastAsia" w:ascii="宋体" w:hAnsi="宋体" w:eastAsia="宋体" w:cs="黑体"/>
                <w:color w:val="auto"/>
                <w:kern w:val="0"/>
                <w:sz w:val="15"/>
                <w:szCs w:val="15"/>
                <w:lang w:bidi="ar"/>
              </w:rPr>
              <w:t>利用激光清洗将污染物从工件表面移除，实现精确、高效的清洗，使铝导杆与大母线接触表面更加光洁，降低接触面压降</w:t>
            </w:r>
            <w:r>
              <w:rPr>
                <w:rFonts w:hint="eastAsia" w:ascii="宋体" w:hAnsi="宋体" w:eastAsia="宋体" w:cs="黑体"/>
                <w:color w:val="auto"/>
                <w:kern w:val="0"/>
                <w:sz w:val="15"/>
                <w:szCs w:val="15"/>
                <w:lang w:eastAsia="zh-CN" w:bidi="ar"/>
              </w:rPr>
              <w:t>。</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2023年1月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2023年12月</w:t>
            </w:r>
          </w:p>
        </w:tc>
        <w:tc>
          <w:tcPr>
            <w:tcW w:w="1729" w:type="dxa"/>
            <w:vMerge w:val="continue"/>
            <w:vAlign w:val="center"/>
          </w:tcPr>
          <w:p>
            <w:pPr>
              <w:widowControl/>
              <w:spacing w:line="240" w:lineRule="exact"/>
              <w:jc w:val="center"/>
              <w:textAlignment w:val="center"/>
              <w:rPr>
                <w:rFonts w:ascii="宋体" w:hAnsi="宋体" w:eastAsia="宋体" w:cs="宋体"/>
                <w:color w:val="auto"/>
                <w:kern w:val="0"/>
                <w:sz w:val="15"/>
                <w:szCs w:val="15"/>
              </w:rPr>
            </w:pPr>
          </w:p>
        </w:tc>
        <w:tc>
          <w:tcPr>
            <w:tcW w:w="1895" w:type="dxa"/>
            <w:vAlign w:val="center"/>
          </w:tcPr>
          <w:p>
            <w:pPr>
              <w:widowControl/>
              <w:spacing w:line="240" w:lineRule="exact"/>
              <w:jc w:val="center"/>
              <w:textAlignment w:val="center"/>
              <w:rPr>
                <w:rFonts w:hint="eastAsia" w:ascii="宋体" w:hAnsi="宋体" w:eastAsia="宋体" w:cs="黑体"/>
                <w:color w:val="auto"/>
                <w:kern w:val="0"/>
                <w:sz w:val="15"/>
                <w:szCs w:val="15"/>
                <w:lang w:bidi="ar"/>
              </w:rPr>
            </w:pPr>
            <w:r>
              <w:rPr>
                <w:rFonts w:hint="eastAsia" w:ascii="宋体" w:hAnsi="宋体" w:eastAsia="宋体" w:cs="黑体"/>
                <w:color w:val="auto"/>
                <w:kern w:val="0"/>
                <w:sz w:val="15"/>
                <w:szCs w:val="15"/>
                <w:lang w:bidi="ar"/>
              </w:rPr>
              <w:t>动力电单耗下降约3kWh/t-AL</w:t>
            </w:r>
          </w:p>
        </w:tc>
        <w:tc>
          <w:tcPr>
            <w:tcW w:w="726" w:type="dxa"/>
            <w:vAlign w:val="center"/>
          </w:tcPr>
          <w:p>
            <w:pPr>
              <w:widowControl/>
              <w:spacing w:line="240" w:lineRule="exact"/>
              <w:jc w:val="center"/>
              <w:textAlignment w:val="center"/>
              <w:rPr>
                <w:rFonts w:ascii="宋体" w:hAnsi="宋体" w:eastAsia="宋体" w:cs="黑体"/>
                <w:color w:val="auto"/>
                <w:kern w:val="0"/>
                <w:sz w:val="15"/>
                <w:szCs w:val="15"/>
                <w:lang w:bidi="ar"/>
              </w:rPr>
            </w:pPr>
            <w:r>
              <w:rPr>
                <w:rFonts w:hint="eastAsia" w:ascii="宋体" w:hAnsi="宋体" w:eastAsia="宋体" w:cs="黑体"/>
                <w:color w:val="auto"/>
                <w:kern w:val="0"/>
                <w:sz w:val="15"/>
                <w:szCs w:val="15"/>
                <w:lang w:bidi="ar"/>
              </w:rPr>
              <w:t>升级</w:t>
            </w:r>
          </w:p>
          <w:p>
            <w:pPr>
              <w:widowControl/>
              <w:spacing w:line="240" w:lineRule="exact"/>
              <w:jc w:val="center"/>
              <w:textAlignment w:val="center"/>
              <w:rPr>
                <w:rFonts w:hint="eastAsia" w:ascii="宋体" w:hAnsi="宋体" w:eastAsia="宋体" w:cs="黑体"/>
                <w:color w:val="auto"/>
                <w:kern w:val="0"/>
                <w:sz w:val="15"/>
                <w:szCs w:val="15"/>
                <w:lang w:bidi="ar"/>
              </w:rPr>
            </w:pPr>
            <w:r>
              <w:rPr>
                <w:rFonts w:hint="eastAsia" w:ascii="宋体" w:hAnsi="宋体" w:eastAsia="宋体" w:cs="黑体"/>
                <w:color w:val="auto"/>
                <w:kern w:val="0"/>
                <w:sz w:val="15"/>
                <w:szCs w:val="15"/>
                <w:lang w:bidi="ar"/>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378" w:type="dxa"/>
            <w:vAlign w:val="center"/>
          </w:tcPr>
          <w:p>
            <w:pPr>
              <w:widowControl/>
              <w:spacing w:line="240" w:lineRule="exact"/>
              <w:jc w:val="center"/>
              <w:textAlignment w:val="center"/>
              <w:rPr>
                <w:rFonts w:hint="eastAsia"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2</w:t>
            </w:r>
          </w:p>
        </w:tc>
        <w:tc>
          <w:tcPr>
            <w:tcW w:w="958" w:type="dxa"/>
            <w:vMerge w:val="restart"/>
            <w:vAlign w:val="center"/>
          </w:tcPr>
          <w:p>
            <w:pPr>
              <w:widowControl/>
              <w:spacing w:line="240" w:lineRule="exact"/>
              <w:jc w:val="center"/>
              <w:textAlignment w:val="center"/>
              <w:rPr>
                <w:rFonts w:hint="eastAsia" w:ascii="宋体" w:hAnsi="宋体" w:eastAsia="宋体" w:cs="宋体"/>
                <w:sz w:val="15"/>
                <w:szCs w:val="15"/>
                <w:lang w:eastAsia="zh-CN"/>
              </w:rPr>
            </w:pPr>
            <w:r>
              <w:rPr>
                <w:rFonts w:hint="eastAsia" w:ascii="宋体" w:hAnsi="宋体" w:eastAsia="宋体" w:cs="宋体"/>
                <w:sz w:val="15"/>
                <w:szCs w:val="15"/>
                <w:lang w:eastAsia="zh-CN"/>
              </w:rPr>
              <w:t>电解铝</w:t>
            </w:r>
          </w:p>
        </w:tc>
        <w:tc>
          <w:tcPr>
            <w:tcW w:w="1223" w:type="dxa"/>
            <w:vAlign w:val="center"/>
          </w:tcPr>
          <w:p>
            <w:pPr>
              <w:widowControl/>
              <w:spacing w:line="240" w:lineRule="exact"/>
              <w:jc w:val="left"/>
              <w:textAlignment w:val="center"/>
              <w:rPr>
                <w:rFonts w:ascii="宋体" w:hAnsi="宋体" w:eastAsia="宋体" w:cs="宋体"/>
                <w:sz w:val="15"/>
                <w:szCs w:val="15"/>
              </w:rPr>
            </w:pPr>
            <w:r>
              <w:rPr>
                <w:rFonts w:hint="eastAsia" w:ascii="宋体" w:hAnsi="宋体" w:eastAsia="宋体" w:cs="黑体"/>
                <w:color w:val="000000"/>
                <w:kern w:val="0"/>
                <w:sz w:val="15"/>
                <w:szCs w:val="15"/>
                <w:lang w:bidi="ar"/>
              </w:rPr>
              <w:t>青海百河铝业</w:t>
            </w:r>
            <w:r>
              <w:rPr>
                <w:rFonts w:hint="eastAsia" w:ascii="宋体" w:hAnsi="宋体" w:eastAsia="宋体" w:cs="黑体"/>
                <w:color w:val="000000"/>
                <w:kern w:val="0"/>
                <w:sz w:val="15"/>
                <w:szCs w:val="15"/>
                <w:lang w:bidi="ar"/>
              </w:rPr>
              <w:br w:type="textWrapping"/>
            </w:r>
            <w:r>
              <w:rPr>
                <w:rFonts w:hint="eastAsia" w:ascii="宋体" w:hAnsi="宋体" w:eastAsia="宋体" w:cs="黑体"/>
                <w:color w:val="000000"/>
                <w:kern w:val="0"/>
                <w:sz w:val="15"/>
                <w:szCs w:val="15"/>
                <w:lang w:bidi="ar"/>
              </w:rPr>
              <w:t>有限责任公司</w:t>
            </w:r>
          </w:p>
        </w:tc>
        <w:tc>
          <w:tcPr>
            <w:tcW w:w="888" w:type="dxa"/>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黑体"/>
                <w:color w:val="000000"/>
                <w:kern w:val="0"/>
                <w:sz w:val="15"/>
                <w:szCs w:val="15"/>
                <w:lang w:bidi="ar"/>
              </w:rPr>
              <w:t>青海省西宁市甘河工业园区</w:t>
            </w:r>
          </w:p>
        </w:tc>
        <w:tc>
          <w:tcPr>
            <w:tcW w:w="1179" w:type="dxa"/>
            <w:vAlign w:val="center"/>
          </w:tcPr>
          <w:p>
            <w:pPr>
              <w:widowControl/>
              <w:spacing w:line="240" w:lineRule="exact"/>
              <w:jc w:val="left"/>
              <w:textAlignment w:val="center"/>
              <w:rPr>
                <w:rFonts w:hint="eastAsia" w:ascii="宋体" w:hAnsi="宋体" w:eastAsia="宋体" w:cs="黑体"/>
                <w:color w:val="auto"/>
                <w:kern w:val="0"/>
                <w:sz w:val="15"/>
                <w:szCs w:val="15"/>
                <w:lang w:bidi="ar"/>
              </w:rPr>
            </w:pPr>
            <w:r>
              <w:rPr>
                <w:rFonts w:hint="eastAsia" w:ascii="宋体" w:hAnsi="宋体" w:eastAsia="宋体" w:cs="黑体"/>
                <w:color w:val="auto"/>
                <w:kern w:val="0"/>
                <w:sz w:val="15"/>
                <w:szCs w:val="15"/>
                <w:lang w:bidi="ar"/>
              </w:rPr>
              <w:t>开展全石墨化阴极电解槽试验</w:t>
            </w:r>
          </w:p>
        </w:tc>
        <w:tc>
          <w:tcPr>
            <w:tcW w:w="819" w:type="dxa"/>
            <w:vAlign w:val="center"/>
          </w:tcPr>
          <w:p>
            <w:pPr>
              <w:widowControl/>
              <w:spacing w:line="240" w:lineRule="exact"/>
              <w:jc w:val="center"/>
              <w:textAlignment w:val="center"/>
              <w:rPr>
                <w:rFonts w:hint="default" w:ascii="宋体" w:hAnsi="宋体" w:eastAsia="宋体" w:cs="黑体"/>
                <w:color w:val="auto"/>
                <w:kern w:val="0"/>
                <w:sz w:val="15"/>
                <w:szCs w:val="15"/>
                <w:lang w:val="en-US" w:eastAsia="zh-CN" w:bidi="ar"/>
              </w:rPr>
            </w:pPr>
            <w:r>
              <w:rPr>
                <w:rFonts w:hint="eastAsia" w:ascii="宋体" w:hAnsi="宋体" w:eastAsia="宋体" w:cs="黑体"/>
                <w:color w:val="auto"/>
                <w:kern w:val="0"/>
                <w:sz w:val="15"/>
                <w:szCs w:val="15"/>
                <w:lang w:val="en-US" w:eastAsia="zh-CN" w:bidi="ar"/>
              </w:rPr>
              <w:t>15000</w:t>
            </w:r>
          </w:p>
        </w:tc>
        <w:tc>
          <w:tcPr>
            <w:tcW w:w="640" w:type="dxa"/>
            <w:vAlign w:val="center"/>
          </w:tcPr>
          <w:p>
            <w:pPr>
              <w:widowControl/>
              <w:spacing w:line="240" w:lineRule="exact"/>
              <w:jc w:val="center"/>
              <w:textAlignment w:val="center"/>
              <w:rPr>
                <w:rFonts w:hint="eastAsia" w:ascii="宋体" w:hAnsi="宋体" w:eastAsia="宋体" w:cs="黑体"/>
                <w:color w:val="auto"/>
                <w:kern w:val="0"/>
                <w:sz w:val="15"/>
                <w:szCs w:val="15"/>
                <w:lang w:bidi="ar"/>
              </w:rPr>
            </w:pPr>
            <w:r>
              <w:rPr>
                <w:rFonts w:hint="eastAsia" w:ascii="宋体" w:hAnsi="宋体" w:eastAsia="宋体" w:cs="黑体"/>
                <w:color w:val="auto"/>
                <w:kern w:val="0"/>
                <w:sz w:val="15"/>
                <w:szCs w:val="15"/>
                <w:lang w:bidi="ar"/>
              </w:rPr>
              <w:t>自筹</w:t>
            </w:r>
          </w:p>
        </w:tc>
        <w:tc>
          <w:tcPr>
            <w:tcW w:w="3833" w:type="dxa"/>
            <w:vAlign w:val="center"/>
          </w:tcPr>
          <w:p>
            <w:pPr>
              <w:widowControl/>
              <w:spacing w:line="240" w:lineRule="exact"/>
              <w:jc w:val="left"/>
              <w:textAlignment w:val="center"/>
              <w:rPr>
                <w:rFonts w:hint="eastAsia" w:ascii="宋体" w:hAnsi="宋体" w:eastAsia="宋体" w:cs="黑体"/>
                <w:color w:val="auto"/>
                <w:kern w:val="0"/>
                <w:sz w:val="15"/>
                <w:szCs w:val="15"/>
                <w:lang w:bidi="ar"/>
              </w:rPr>
            </w:pPr>
            <w:r>
              <w:rPr>
                <w:rFonts w:hint="eastAsia" w:ascii="宋体" w:hAnsi="宋体" w:eastAsia="宋体" w:cs="黑体"/>
                <w:color w:val="auto"/>
                <w:kern w:val="0"/>
                <w:sz w:val="15"/>
                <w:szCs w:val="15"/>
                <w:lang w:bidi="ar"/>
              </w:rPr>
              <w:t>在330kA系列选取20台电解槽进行全石墨化阴极和磷生铁浇铸技术进行试验，试验计划采用三n种方案进行：5台采用“石墨化阴极+高导电钢棒+磷生铁浇铸”方案；5台采用“石墨化阴极+嵌铜钢棒+磷生铁浇铸”技术；10台采用“石墨质阴极+高导电钢棒+磷生铁浇铸”方案。</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2023年1月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2025年12月</w:t>
            </w:r>
          </w:p>
        </w:tc>
        <w:tc>
          <w:tcPr>
            <w:tcW w:w="1729" w:type="dxa"/>
            <w:vAlign w:val="center"/>
          </w:tcPr>
          <w:p>
            <w:pPr>
              <w:widowControl/>
              <w:spacing w:line="240" w:lineRule="exact"/>
              <w:jc w:val="center"/>
              <w:textAlignment w:val="center"/>
              <w:rPr>
                <w:rFonts w:ascii="宋体" w:hAnsi="宋体" w:eastAsia="宋体" w:cs="宋体"/>
                <w:color w:val="auto"/>
                <w:kern w:val="0"/>
                <w:sz w:val="15"/>
                <w:szCs w:val="15"/>
              </w:rPr>
            </w:pPr>
            <w:r>
              <w:rPr>
                <w:rFonts w:hint="eastAsia" w:ascii="宋体" w:hAnsi="宋体" w:eastAsia="宋体" w:cs="宋体"/>
                <w:color w:val="auto"/>
                <w:kern w:val="0"/>
                <w:sz w:val="15"/>
                <w:szCs w:val="15"/>
              </w:rPr>
              <w:t>铝液电解交流电耗</w:t>
            </w:r>
            <w:r>
              <w:rPr>
                <w:rFonts w:ascii="宋体" w:hAnsi="宋体" w:eastAsia="宋体" w:cs="宋体"/>
                <w:color w:val="auto"/>
                <w:kern w:val="0"/>
                <w:sz w:val="15"/>
                <w:szCs w:val="15"/>
              </w:rPr>
              <w:t>13149.25</w:t>
            </w:r>
            <w:r>
              <w:rPr>
                <w:rFonts w:hint="eastAsia" w:ascii="宋体" w:hAnsi="宋体" w:eastAsia="宋体" w:cs="黑体"/>
                <w:color w:val="auto"/>
                <w:kern w:val="0"/>
                <w:sz w:val="15"/>
                <w:szCs w:val="15"/>
                <w:lang w:eastAsia="zh-CN" w:bidi="ar"/>
              </w:rPr>
              <w:t>（</w:t>
            </w:r>
            <w:r>
              <w:rPr>
                <w:rFonts w:hint="eastAsia" w:ascii="宋体" w:hAnsi="宋体" w:eastAsia="宋体" w:cs="黑体"/>
                <w:color w:val="auto"/>
                <w:kern w:val="0"/>
                <w:sz w:val="15"/>
                <w:szCs w:val="15"/>
                <w:lang w:bidi="ar"/>
              </w:rPr>
              <w:t>kWh/t</w:t>
            </w:r>
            <w:r>
              <w:rPr>
                <w:rFonts w:hint="eastAsia" w:ascii="宋体" w:hAnsi="宋体" w:eastAsia="宋体" w:cs="黑体"/>
                <w:color w:val="auto"/>
                <w:kern w:val="0"/>
                <w:sz w:val="15"/>
                <w:szCs w:val="15"/>
                <w:lang w:eastAsia="zh-CN" w:bidi="ar"/>
              </w:rPr>
              <w:t>）</w:t>
            </w:r>
            <w:r>
              <w:rPr>
                <w:rFonts w:hint="eastAsia" w:ascii="宋体" w:hAnsi="宋体" w:eastAsia="宋体" w:cs="宋体"/>
                <w:color w:val="auto"/>
                <w:kern w:val="0"/>
                <w:sz w:val="15"/>
                <w:szCs w:val="15"/>
              </w:rPr>
              <w:t>（基准水平）</w:t>
            </w:r>
          </w:p>
        </w:tc>
        <w:tc>
          <w:tcPr>
            <w:tcW w:w="1895" w:type="dxa"/>
            <w:vAlign w:val="center"/>
          </w:tcPr>
          <w:p>
            <w:pPr>
              <w:widowControl/>
              <w:spacing w:line="240" w:lineRule="exact"/>
              <w:jc w:val="center"/>
              <w:textAlignment w:val="center"/>
              <w:rPr>
                <w:rFonts w:hint="eastAsia" w:ascii="宋体" w:hAnsi="宋体" w:eastAsia="宋体" w:cs="黑体"/>
                <w:color w:val="auto"/>
                <w:kern w:val="0"/>
                <w:sz w:val="15"/>
                <w:szCs w:val="15"/>
                <w:lang w:bidi="ar"/>
              </w:rPr>
            </w:pPr>
            <w:r>
              <w:rPr>
                <w:rFonts w:hint="eastAsia" w:ascii="宋体" w:hAnsi="宋体" w:eastAsia="宋体" w:cs="黑体"/>
                <w:color w:val="auto"/>
                <w:kern w:val="0"/>
                <w:sz w:val="15"/>
                <w:szCs w:val="15"/>
                <w:lang w:bidi="ar"/>
              </w:rPr>
              <w:t>单台电解槽铝液电解交流电耗降低50kwh/t-AL</w:t>
            </w:r>
          </w:p>
        </w:tc>
        <w:tc>
          <w:tcPr>
            <w:tcW w:w="726" w:type="dxa"/>
            <w:vAlign w:val="center"/>
          </w:tcPr>
          <w:p>
            <w:pPr>
              <w:widowControl/>
              <w:spacing w:line="240" w:lineRule="exact"/>
              <w:jc w:val="center"/>
              <w:textAlignment w:val="center"/>
              <w:rPr>
                <w:rFonts w:ascii="宋体" w:hAnsi="宋体" w:eastAsia="宋体" w:cs="黑体"/>
                <w:color w:val="auto"/>
                <w:kern w:val="0"/>
                <w:sz w:val="15"/>
                <w:szCs w:val="15"/>
                <w:lang w:bidi="ar"/>
              </w:rPr>
            </w:pPr>
            <w:r>
              <w:rPr>
                <w:rFonts w:hint="eastAsia" w:ascii="宋体" w:hAnsi="宋体" w:eastAsia="宋体" w:cs="黑体"/>
                <w:color w:val="auto"/>
                <w:kern w:val="0"/>
                <w:sz w:val="15"/>
                <w:szCs w:val="15"/>
                <w:lang w:bidi="ar"/>
              </w:rPr>
              <w:t>升级</w:t>
            </w:r>
          </w:p>
          <w:p>
            <w:pPr>
              <w:widowControl/>
              <w:spacing w:line="240" w:lineRule="exact"/>
              <w:jc w:val="center"/>
              <w:textAlignment w:val="center"/>
              <w:rPr>
                <w:rFonts w:hint="eastAsia" w:ascii="宋体" w:hAnsi="宋体" w:eastAsia="宋体" w:cs="黑体"/>
                <w:color w:val="auto"/>
                <w:kern w:val="0"/>
                <w:sz w:val="15"/>
                <w:szCs w:val="15"/>
                <w:lang w:bidi="ar"/>
              </w:rPr>
            </w:pPr>
            <w:r>
              <w:rPr>
                <w:rFonts w:hint="eastAsia" w:ascii="宋体" w:hAnsi="宋体" w:eastAsia="宋体" w:cs="黑体"/>
                <w:color w:val="auto"/>
                <w:kern w:val="0"/>
                <w:sz w:val="15"/>
                <w:szCs w:val="15"/>
                <w:lang w:bidi="ar"/>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378" w:type="dxa"/>
            <w:vMerge w:val="restart"/>
            <w:vAlign w:val="center"/>
          </w:tcPr>
          <w:p>
            <w:pPr>
              <w:widowControl/>
              <w:spacing w:line="240" w:lineRule="exact"/>
              <w:jc w:val="center"/>
              <w:textAlignment w:val="center"/>
              <w:rPr>
                <w:rFonts w:hint="eastAsia" w:ascii="宋体" w:hAnsi="宋体" w:eastAsia="宋体" w:cs="宋体"/>
                <w:kern w:val="0"/>
                <w:sz w:val="15"/>
                <w:szCs w:val="15"/>
                <w:lang w:val="en-US" w:eastAsia="zh-CN"/>
              </w:rPr>
            </w:pPr>
            <w:r>
              <w:rPr>
                <w:rFonts w:hint="eastAsia" w:ascii="宋体" w:hAnsi="宋体" w:eastAsia="宋体" w:cs="宋体"/>
                <w:kern w:val="0"/>
                <w:sz w:val="15"/>
                <w:szCs w:val="15"/>
              </w:rPr>
              <w:t xml:space="preserve">3 </w:t>
            </w:r>
          </w:p>
        </w:tc>
        <w:tc>
          <w:tcPr>
            <w:tcW w:w="958" w:type="dxa"/>
            <w:vMerge w:val="continue"/>
            <w:vAlign w:val="center"/>
          </w:tcPr>
          <w:p>
            <w:pPr>
              <w:spacing w:line="240" w:lineRule="exact"/>
              <w:jc w:val="center"/>
              <w:textAlignment w:val="center"/>
              <w:rPr>
                <w:rFonts w:ascii="宋体" w:hAnsi="宋体" w:eastAsia="宋体" w:cs="宋体"/>
                <w:sz w:val="15"/>
                <w:szCs w:val="15"/>
              </w:rPr>
            </w:pPr>
          </w:p>
        </w:tc>
        <w:tc>
          <w:tcPr>
            <w:tcW w:w="1223" w:type="dxa"/>
            <w:vMerge w:val="restart"/>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宋体"/>
                <w:color w:val="auto"/>
                <w:sz w:val="15"/>
                <w:szCs w:val="15"/>
              </w:rPr>
              <w:t>青海桥头铝电有限责任公司</w:t>
            </w:r>
          </w:p>
        </w:tc>
        <w:tc>
          <w:tcPr>
            <w:tcW w:w="888" w:type="dxa"/>
            <w:vMerge w:val="restart"/>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宋体"/>
                <w:sz w:val="15"/>
                <w:szCs w:val="15"/>
                <w:lang w:eastAsia="zh-CN"/>
              </w:rPr>
              <w:t>青海省</w:t>
            </w:r>
            <w:r>
              <w:rPr>
                <w:rFonts w:hint="eastAsia" w:ascii="宋体" w:hAnsi="宋体" w:eastAsia="宋体" w:cs="宋体"/>
                <w:sz w:val="15"/>
                <w:szCs w:val="15"/>
              </w:rPr>
              <w:t>西宁市</w:t>
            </w:r>
            <w:r>
              <w:rPr>
                <w:rFonts w:hint="eastAsia" w:ascii="宋体" w:hAnsi="宋体" w:eastAsia="宋体" w:cs="宋体"/>
                <w:sz w:val="15"/>
                <w:szCs w:val="15"/>
                <w:lang w:eastAsia="zh-CN"/>
              </w:rPr>
              <w:t>大通县</w:t>
            </w:r>
          </w:p>
        </w:tc>
        <w:tc>
          <w:tcPr>
            <w:tcW w:w="1179" w:type="dxa"/>
            <w:vAlign w:val="center"/>
          </w:tcPr>
          <w:p>
            <w:pPr>
              <w:widowControl/>
              <w:spacing w:line="240" w:lineRule="exact"/>
              <w:jc w:val="left"/>
              <w:textAlignment w:val="center"/>
              <w:rPr>
                <w:rFonts w:ascii="宋体" w:hAnsi="宋体" w:eastAsia="宋体" w:cs="宋体"/>
                <w:color w:val="auto"/>
                <w:sz w:val="15"/>
                <w:szCs w:val="15"/>
              </w:rPr>
            </w:pPr>
            <w:r>
              <w:rPr>
                <w:rFonts w:hint="eastAsia" w:ascii="宋体" w:hAnsi="宋体" w:eastAsia="宋体" w:cs="宋体"/>
                <w:color w:val="auto"/>
                <w:sz w:val="15"/>
                <w:szCs w:val="15"/>
              </w:rPr>
              <w:t>新型节能阻流电解槽改造（50）</w:t>
            </w:r>
          </w:p>
        </w:tc>
        <w:tc>
          <w:tcPr>
            <w:tcW w:w="819" w:type="dxa"/>
            <w:vAlign w:val="center"/>
          </w:tcPr>
          <w:p>
            <w:pPr>
              <w:widowControl/>
              <w:spacing w:line="240" w:lineRule="exact"/>
              <w:jc w:val="center"/>
              <w:textAlignment w:val="center"/>
              <w:rPr>
                <w:rFonts w:ascii="宋体" w:hAnsi="宋体" w:eastAsia="宋体" w:cs="宋体"/>
                <w:color w:val="auto"/>
                <w:sz w:val="15"/>
                <w:szCs w:val="15"/>
              </w:rPr>
            </w:pPr>
            <w:r>
              <w:rPr>
                <w:rFonts w:ascii="宋体" w:hAnsi="宋体" w:eastAsia="宋体" w:cs="宋体"/>
                <w:color w:val="auto"/>
                <w:sz w:val="15"/>
                <w:szCs w:val="15"/>
              </w:rPr>
              <w:t>3865</w:t>
            </w:r>
          </w:p>
        </w:tc>
        <w:tc>
          <w:tcPr>
            <w:tcW w:w="640" w:type="dxa"/>
            <w:vAlign w:val="center"/>
          </w:tcPr>
          <w:p>
            <w:pPr>
              <w:widowControl/>
              <w:spacing w:line="240" w:lineRule="exact"/>
              <w:jc w:val="center"/>
              <w:textAlignment w:val="center"/>
              <w:rPr>
                <w:rFonts w:ascii="宋体" w:hAnsi="宋体" w:eastAsia="宋体" w:cs="宋体"/>
                <w:color w:val="auto"/>
                <w:sz w:val="15"/>
                <w:szCs w:val="15"/>
              </w:rPr>
            </w:pPr>
            <w:r>
              <w:rPr>
                <w:rFonts w:hint="eastAsia" w:ascii="宋体" w:hAnsi="宋体" w:eastAsia="宋体" w:cs="宋体"/>
                <w:color w:val="auto"/>
                <w:sz w:val="15"/>
                <w:szCs w:val="15"/>
              </w:rPr>
              <w:t>自筹</w:t>
            </w:r>
          </w:p>
        </w:tc>
        <w:tc>
          <w:tcPr>
            <w:tcW w:w="3833" w:type="dxa"/>
            <w:vAlign w:val="center"/>
          </w:tcPr>
          <w:p>
            <w:pPr>
              <w:widowControl/>
              <w:spacing w:line="240" w:lineRule="exact"/>
              <w:jc w:val="left"/>
              <w:textAlignment w:val="center"/>
              <w:rPr>
                <w:rFonts w:ascii="宋体" w:hAnsi="宋体" w:eastAsia="宋体" w:cs="宋体"/>
                <w:color w:val="auto"/>
                <w:sz w:val="15"/>
                <w:szCs w:val="15"/>
              </w:rPr>
            </w:pPr>
            <w:r>
              <w:rPr>
                <w:rFonts w:hint="eastAsia" w:ascii="宋体" w:hAnsi="宋体" w:eastAsia="宋体" w:cs="宋体"/>
                <w:color w:val="auto"/>
                <w:sz w:val="15"/>
                <w:szCs w:val="15"/>
              </w:rPr>
              <w:t>采用阴极组装磷生铁浇铸工艺、增加阴极钢棒截面积、电解槽内保温技术、50%石墨阴极炭块、侧部为氮化硅结合碳化硅块冷捣糊技术以及优化阴极组装工艺，实现电解槽在低电压下稳定运行，达到了铝电解槽高效节能的目的。</w:t>
            </w:r>
          </w:p>
        </w:tc>
        <w:tc>
          <w:tcPr>
            <w:tcW w:w="1134" w:type="dxa"/>
            <w:vAlign w:val="center"/>
          </w:tcPr>
          <w:p>
            <w:pPr>
              <w:widowControl/>
              <w:spacing w:line="24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2</w:t>
            </w:r>
            <w:r>
              <w:rPr>
                <w:rFonts w:ascii="宋体" w:hAnsi="宋体" w:eastAsia="宋体" w:cs="宋体"/>
                <w:color w:val="auto"/>
                <w:sz w:val="15"/>
                <w:szCs w:val="15"/>
              </w:rPr>
              <w:t>022</w:t>
            </w:r>
            <w:r>
              <w:rPr>
                <w:rFonts w:hint="eastAsia" w:ascii="宋体" w:hAnsi="宋体" w:eastAsia="宋体" w:cs="宋体"/>
                <w:color w:val="auto"/>
                <w:sz w:val="15"/>
                <w:szCs w:val="15"/>
              </w:rPr>
              <w:t>年</w:t>
            </w:r>
          </w:p>
          <w:p>
            <w:pPr>
              <w:widowControl/>
              <w:spacing w:line="24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w:t>
            </w:r>
          </w:p>
          <w:p>
            <w:pPr>
              <w:widowControl/>
              <w:spacing w:line="240" w:lineRule="exact"/>
              <w:jc w:val="center"/>
              <w:textAlignment w:val="center"/>
              <w:rPr>
                <w:rFonts w:ascii="宋体" w:hAnsi="宋体" w:eastAsia="宋体" w:cs="宋体"/>
                <w:color w:val="auto"/>
                <w:sz w:val="15"/>
                <w:szCs w:val="15"/>
              </w:rPr>
            </w:pPr>
            <w:r>
              <w:rPr>
                <w:rFonts w:ascii="宋体" w:hAnsi="宋体" w:eastAsia="宋体" w:cs="宋体"/>
                <w:color w:val="auto"/>
                <w:sz w:val="15"/>
                <w:szCs w:val="15"/>
              </w:rPr>
              <w:t>2023</w:t>
            </w:r>
            <w:r>
              <w:rPr>
                <w:rFonts w:hint="eastAsia" w:ascii="宋体" w:hAnsi="宋体" w:eastAsia="宋体" w:cs="宋体"/>
                <w:color w:val="auto"/>
                <w:sz w:val="15"/>
                <w:szCs w:val="15"/>
              </w:rPr>
              <w:t>年</w:t>
            </w:r>
          </w:p>
        </w:tc>
        <w:tc>
          <w:tcPr>
            <w:tcW w:w="1729" w:type="dxa"/>
            <w:vMerge w:val="restart"/>
            <w:vAlign w:val="center"/>
          </w:tcPr>
          <w:p>
            <w:pPr>
              <w:widowControl/>
              <w:spacing w:line="240" w:lineRule="exact"/>
              <w:jc w:val="center"/>
              <w:textAlignment w:val="center"/>
              <w:rPr>
                <w:rFonts w:ascii="宋体" w:hAnsi="宋体" w:eastAsia="宋体" w:cs="宋体"/>
                <w:color w:val="auto"/>
                <w:sz w:val="15"/>
                <w:szCs w:val="15"/>
              </w:rPr>
            </w:pPr>
            <w:r>
              <w:rPr>
                <w:rFonts w:hint="eastAsia" w:ascii="宋体" w:hAnsi="宋体" w:eastAsia="宋体" w:cs="宋体"/>
                <w:color w:val="auto"/>
                <w:kern w:val="0"/>
                <w:sz w:val="15"/>
                <w:szCs w:val="15"/>
              </w:rPr>
              <w:t>铝液电解交流电耗</w:t>
            </w:r>
            <w:r>
              <w:rPr>
                <w:rFonts w:ascii="宋体" w:hAnsi="宋体" w:eastAsia="宋体" w:cs="宋体"/>
                <w:color w:val="auto"/>
                <w:sz w:val="15"/>
                <w:szCs w:val="15"/>
              </w:rPr>
              <w:t>13243.08</w:t>
            </w:r>
            <w:r>
              <w:rPr>
                <w:rFonts w:hint="eastAsia" w:ascii="宋体" w:hAnsi="宋体" w:eastAsia="宋体" w:cs="黑体"/>
                <w:color w:val="auto"/>
                <w:kern w:val="0"/>
                <w:sz w:val="15"/>
                <w:szCs w:val="15"/>
                <w:lang w:eastAsia="zh-CN" w:bidi="ar"/>
              </w:rPr>
              <w:t>（</w:t>
            </w:r>
            <w:r>
              <w:rPr>
                <w:rFonts w:hint="eastAsia" w:ascii="宋体" w:hAnsi="宋体" w:eastAsia="宋体" w:cs="黑体"/>
                <w:color w:val="auto"/>
                <w:kern w:val="0"/>
                <w:sz w:val="15"/>
                <w:szCs w:val="15"/>
                <w:lang w:bidi="ar"/>
              </w:rPr>
              <w:t>kWh/t</w:t>
            </w:r>
            <w:r>
              <w:rPr>
                <w:rFonts w:hint="eastAsia" w:ascii="宋体" w:hAnsi="宋体" w:eastAsia="宋体" w:cs="黑体"/>
                <w:color w:val="auto"/>
                <w:kern w:val="0"/>
                <w:sz w:val="15"/>
                <w:szCs w:val="15"/>
                <w:lang w:eastAsia="zh-CN" w:bidi="ar"/>
              </w:rPr>
              <w:t>）</w:t>
            </w:r>
          </w:p>
          <w:p>
            <w:pPr>
              <w:widowControl/>
              <w:spacing w:line="240" w:lineRule="exact"/>
              <w:jc w:val="center"/>
              <w:textAlignment w:val="center"/>
              <w:rPr>
                <w:rFonts w:ascii="宋体" w:hAnsi="宋体" w:eastAsia="宋体" w:cs="宋体"/>
                <w:color w:val="auto"/>
                <w:sz w:val="15"/>
                <w:szCs w:val="15"/>
              </w:rPr>
            </w:pPr>
            <w:r>
              <w:rPr>
                <w:rFonts w:hint="eastAsia" w:ascii="宋体" w:hAnsi="宋体" w:eastAsia="宋体" w:cs="宋体"/>
                <w:color w:val="auto"/>
                <w:kern w:val="0"/>
                <w:sz w:val="15"/>
                <w:szCs w:val="15"/>
              </w:rPr>
              <w:t>（ 基准水平）</w:t>
            </w:r>
          </w:p>
        </w:tc>
        <w:tc>
          <w:tcPr>
            <w:tcW w:w="1895" w:type="dxa"/>
            <w:vAlign w:val="center"/>
          </w:tcPr>
          <w:p>
            <w:pPr>
              <w:widowControl/>
              <w:spacing w:line="240" w:lineRule="exact"/>
              <w:jc w:val="center"/>
              <w:textAlignment w:val="center"/>
              <w:rPr>
                <w:rFonts w:ascii="宋体" w:hAnsi="宋体" w:eastAsia="宋体" w:cs="宋体"/>
                <w:color w:val="auto"/>
                <w:sz w:val="15"/>
                <w:szCs w:val="15"/>
              </w:rPr>
            </w:pPr>
            <w:r>
              <w:rPr>
                <w:rFonts w:hint="eastAsia" w:ascii="宋体" w:hAnsi="宋体" w:eastAsia="宋体" w:cs="黑体"/>
                <w:color w:val="auto"/>
                <w:kern w:val="0"/>
                <w:sz w:val="15"/>
                <w:szCs w:val="15"/>
                <w:lang w:val="en-US" w:eastAsia="zh-CN" w:bidi="ar"/>
              </w:rPr>
              <w:t>铝液</w:t>
            </w:r>
            <w:r>
              <w:rPr>
                <w:rFonts w:hint="eastAsia" w:ascii="宋体" w:hAnsi="宋体" w:eastAsia="宋体" w:cs="黑体"/>
                <w:color w:val="auto"/>
                <w:kern w:val="0"/>
                <w:sz w:val="15"/>
                <w:szCs w:val="15"/>
                <w:lang w:eastAsia="zh-CN" w:bidi="ar"/>
              </w:rPr>
              <w:t>电解</w:t>
            </w:r>
            <w:r>
              <w:rPr>
                <w:rFonts w:hint="eastAsia" w:ascii="宋体" w:hAnsi="宋体" w:eastAsia="宋体" w:cs="黑体"/>
                <w:color w:val="auto"/>
                <w:kern w:val="0"/>
                <w:sz w:val="15"/>
                <w:szCs w:val="15"/>
                <w:lang w:bidi="ar"/>
              </w:rPr>
              <w:t>直流电耗13008.32</w:t>
            </w:r>
            <w:r>
              <w:rPr>
                <w:rFonts w:hint="eastAsia" w:ascii="宋体" w:hAnsi="宋体" w:eastAsia="宋体" w:cs="宋体"/>
                <w:color w:val="auto"/>
                <w:kern w:val="0"/>
                <w:sz w:val="15"/>
                <w:szCs w:val="15"/>
              </w:rPr>
              <w:t>(kwh/t</w:t>
            </w:r>
            <w:r>
              <w:rPr>
                <w:rFonts w:hint="eastAsia" w:ascii="宋体" w:hAnsi="宋体" w:eastAsia="宋体" w:cs="宋体"/>
                <w:color w:val="auto"/>
                <w:kern w:val="0"/>
                <w:sz w:val="15"/>
                <w:szCs w:val="15"/>
                <w:lang w:eastAsia="zh-CN"/>
              </w:rPr>
              <w:t>）</w:t>
            </w:r>
          </w:p>
        </w:tc>
        <w:tc>
          <w:tcPr>
            <w:tcW w:w="726" w:type="dxa"/>
            <w:vAlign w:val="center"/>
          </w:tcPr>
          <w:p>
            <w:pPr>
              <w:widowControl/>
              <w:spacing w:line="240" w:lineRule="exact"/>
              <w:jc w:val="center"/>
              <w:textAlignment w:val="center"/>
              <w:rPr>
                <w:rFonts w:hint="eastAsia" w:ascii="宋体" w:hAnsi="宋体" w:eastAsia="宋体" w:cs="宋体"/>
                <w:color w:val="auto"/>
                <w:kern w:val="0"/>
                <w:sz w:val="15"/>
                <w:szCs w:val="15"/>
              </w:rPr>
            </w:pPr>
            <w:r>
              <w:rPr>
                <w:rFonts w:hint="eastAsia" w:ascii="宋体" w:hAnsi="宋体" w:eastAsia="宋体" w:cs="宋体"/>
                <w:color w:val="auto"/>
                <w:kern w:val="0"/>
                <w:sz w:val="15"/>
                <w:szCs w:val="15"/>
              </w:rPr>
              <w:t>升级</w:t>
            </w:r>
          </w:p>
          <w:p>
            <w:pPr>
              <w:widowControl/>
              <w:spacing w:line="240" w:lineRule="exact"/>
              <w:jc w:val="center"/>
              <w:textAlignment w:val="center"/>
              <w:rPr>
                <w:rFonts w:ascii="宋体" w:hAnsi="宋体" w:eastAsia="宋体" w:cs="宋体"/>
                <w:color w:val="auto"/>
                <w:kern w:val="0"/>
                <w:sz w:val="15"/>
                <w:szCs w:val="15"/>
              </w:rPr>
            </w:pPr>
            <w:r>
              <w:rPr>
                <w:rFonts w:hint="eastAsia" w:ascii="宋体" w:hAnsi="宋体" w:eastAsia="宋体" w:cs="宋体"/>
                <w:color w:val="auto"/>
                <w:kern w:val="0"/>
                <w:sz w:val="15"/>
                <w:szCs w:val="15"/>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jc w:val="center"/>
        </w:trPr>
        <w:tc>
          <w:tcPr>
            <w:tcW w:w="378" w:type="dxa"/>
            <w:vMerge w:val="continue"/>
            <w:vAlign w:val="center"/>
          </w:tcPr>
          <w:p>
            <w:pPr>
              <w:widowControl/>
              <w:spacing w:line="240" w:lineRule="exact"/>
              <w:jc w:val="center"/>
              <w:textAlignment w:val="center"/>
              <w:rPr>
                <w:rFonts w:ascii="宋体" w:hAnsi="宋体" w:eastAsia="宋体" w:cs="宋体"/>
                <w:kern w:val="0"/>
                <w:sz w:val="15"/>
                <w:szCs w:val="15"/>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vAlign w:val="center"/>
          </w:tcPr>
          <w:p>
            <w:pPr>
              <w:widowControl/>
              <w:spacing w:line="240" w:lineRule="exact"/>
              <w:jc w:val="left"/>
              <w:textAlignment w:val="center"/>
              <w:rPr>
                <w:rFonts w:ascii="宋体" w:hAnsi="宋体" w:eastAsia="宋体" w:cs="宋体"/>
                <w:sz w:val="15"/>
                <w:szCs w:val="15"/>
              </w:rPr>
            </w:pPr>
          </w:p>
        </w:tc>
        <w:tc>
          <w:tcPr>
            <w:tcW w:w="888" w:type="dxa"/>
            <w:vMerge w:val="continue"/>
            <w:vAlign w:val="center"/>
          </w:tcPr>
          <w:p>
            <w:pPr>
              <w:widowControl/>
              <w:spacing w:line="240" w:lineRule="exact"/>
              <w:jc w:val="center"/>
              <w:textAlignment w:val="center"/>
              <w:rPr>
                <w:rFonts w:ascii="宋体" w:hAnsi="宋体" w:eastAsia="宋体" w:cs="宋体"/>
                <w:sz w:val="15"/>
                <w:szCs w:val="15"/>
              </w:rPr>
            </w:pPr>
          </w:p>
        </w:tc>
        <w:tc>
          <w:tcPr>
            <w:tcW w:w="1179" w:type="dxa"/>
            <w:vAlign w:val="center"/>
          </w:tcPr>
          <w:p>
            <w:pPr>
              <w:widowControl/>
              <w:spacing w:line="24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电解槽磷生铁浇铸项目（3</w:t>
            </w:r>
            <w:r>
              <w:rPr>
                <w:rFonts w:ascii="宋体" w:hAnsi="宋体" w:eastAsia="宋体" w:cs="宋体"/>
                <w:sz w:val="15"/>
                <w:szCs w:val="15"/>
              </w:rPr>
              <w:t>5</w:t>
            </w:r>
            <w:r>
              <w:rPr>
                <w:rFonts w:hint="eastAsia" w:ascii="宋体" w:hAnsi="宋体" w:eastAsia="宋体" w:cs="宋体"/>
                <w:sz w:val="15"/>
                <w:szCs w:val="15"/>
              </w:rPr>
              <w:t>台）</w:t>
            </w:r>
          </w:p>
        </w:tc>
        <w:tc>
          <w:tcPr>
            <w:tcW w:w="819" w:type="dxa"/>
            <w:vAlign w:val="center"/>
          </w:tcPr>
          <w:p>
            <w:pPr>
              <w:widowControl/>
              <w:spacing w:line="240" w:lineRule="exact"/>
              <w:jc w:val="center"/>
              <w:textAlignment w:val="center"/>
              <w:rPr>
                <w:rFonts w:ascii="宋体" w:hAnsi="宋体" w:eastAsia="宋体" w:cs="宋体"/>
                <w:kern w:val="2"/>
                <w:sz w:val="15"/>
                <w:szCs w:val="15"/>
                <w:lang w:val="en-US" w:eastAsia="zh-CN" w:bidi="ar-SA"/>
              </w:rPr>
            </w:pPr>
            <w:r>
              <w:rPr>
                <w:rFonts w:ascii="宋体" w:hAnsi="宋体" w:eastAsia="宋体" w:cs="宋体"/>
                <w:sz w:val="15"/>
                <w:szCs w:val="15"/>
              </w:rPr>
              <w:t>2705</w:t>
            </w:r>
          </w:p>
        </w:tc>
        <w:tc>
          <w:tcPr>
            <w:tcW w:w="640"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采用阴极组装磷生铁浇铸工艺、增加阴极钢棒截面积、电解槽内保温技术、50%石墨阴极炭块、侧部为氮化硅结合碳化硅块冷捣糊技术以及优化阴极组装工艺，实现电解槽在低电压下稳定运行，达到了铝电解槽高效节能的目的。</w:t>
            </w:r>
          </w:p>
        </w:tc>
        <w:tc>
          <w:tcPr>
            <w:tcW w:w="1134"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ascii="宋体" w:hAnsi="宋体" w:eastAsia="宋体" w:cs="宋体"/>
                <w:sz w:val="15"/>
                <w:szCs w:val="15"/>
              </w:rPr>
              <w:t>2022</w:t>
            </w:r>
            <w:r>
              <w:rPr>
                <w:rFonts w:hint="eastAsia" w:ascii="宋体" w:hAnsi="宋体" w:eastAsia="宋体" w:cs="宋体"/>
                <w:sz w:val="15"/>
                <w:szCs w:val="15"/>
              </w:rPr>
              <w:t>年</w:t>
            </w:r>
          </w:p>
        </w:tc>
        <w:tc>
          <w:tcPr>
            <w:tcW w:w="1729" w:type="dxa"/>
            <w:vMerge w:val="continue"/>
            <w:vAlign w:val="center"/>
          </w:tcPr>
          <w:p>
            <w:pPr>
              <w:widowControl/>
              <w:spacing w:line="240" w:lineRule="exact"/>
              <w:jc w:val="center"/>
              <w:textAlignment w:val="center"/>
              <w:rPr>
                <w:rFonts w:ascii="宋体" w:hAnsi="宋体" w:eastAsia="宋体" w:cs="宋体"/>
                <w:sz w:val="15"/>
                <w:szCs w:val="15"/>
              </w:rPr>
            </w:pPr>
          </w:p>
        </w:tc>
        <w:tc>
          <w:tcPr>
            <w:tcW w:w="1895"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黑体"/>
                <w:color w:val="000000"/>
                <w:kern w:val="0"/>
                <w:sz w:val="15"/>
                <w:szCs w:val="15"/>
                <w:lang w:val="en-US" w:eastAsia="zh-CN" w:bidi="ar"/>
              </w:rPr>
              <w:t>铝液电解直流电耗13013.32（kWh/t）</w:t>
            </w:r>
          </w:p>
        </w:tc>
        <w:tc>
          <w:tcPr>
            <w:tcW w:w="726" w:type="dxa"/>
            <w:vAlign w:val="center"/>
          </w:tcPr>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rPr>
              <w:t>升级</w:t>
            </w:r>
          </w:p>
          <w:p>
            <w:pPr>
              <w:widowControl/>
              <w:spacing w:line="240" w:lineRule="exact"/>
              <w:jc w:val="center"/>
              <w:textAlignment w:val="center"/>
              <w:rPr>
                <w:rFonts w:hint="eastAsia" w:ascii="宋体" w:hAnsi="宋体" w:eastAsia="宋体" w:cs="宋体"/>
                <w:kern w:val="0"/>
                <w:sz w:val="15"/>
                <w:szCs w:val="15"/>
                <w:lang w:val="en-US" w:eastAsia="zh-CN" w:bidi="ar-SA"/>
              </w:rPr>
            </w:pPr>
            <w:r>
              <w:rPr>
                <w:rFonts w:hint="eastAsia" w:ascii="宋体" w:hAnsi="宋体" w:eastAsia="宋体" w:cs="宋体"/>
                <w:kern w:val="0"/>
                <w:sz w:val="15"/>
                <w:szCs w:val="15"/>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jc w:val="center"/>
        </w:trPr>
        <w:tc>
          <w:tcPr>
            <w:tcW w:w="378" w:type="dxa"/>
            <w:vMerge w:val="continue"/>
            <w:vAlign w:val="center"/>
          </w:tcPr>
          <w:p>
            <w:pPr>
              <w:widowControl/>
              <w:spacing w:line="240" w:lineRule="exact"/>
              <w:jc w:val="center"/>
              <w:textAlignment w:val="center"/>
              <w:rPr>
                <w:rFonts w:ascii="宋体" w:hAnsi="宋体" w:eastAsia="宋体" w:cs="宋体"/>
                <w:kern w:val="0"/>
                <w:sz w:val="15"/>
                <w:szCs w:val="15"/>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vAlign w:val="center"/>
          </w:tcPr>
          <w:p>
            <w:pPr>
              <w:widowControl/>
              <w:spacing w:line="240" w:lineRule="exact"/>
              <w:jc w:val="left"/>
              <w:textAlignment w:val="center"/>
              <w:rPr>
                <w:rFonts w:ascii="宋体" w:hAnsi="宋体" w:eastAsia="宋体" w:cs="宋体"/>
                <w:sz w:val="15"/>
                <w:szCs w:val="15"/>
              </w:rPr>
            </w:pPr>
          </w:p>
        </w:tc>
        <w:tc>
          <w:tcPr>
            <w:tcW w:w="888" w:type="dxa"/>
            <w:vMerge w:val="continue"/>
            <w:vAlign w:val="center"/>
          </w:tcPr>
          <w:p>
            <w:pPr>
              <w:widowControl/>
              <w:spacing w:line="240" w:lineRule="exact"/>
              <w:jc w:val="center"/>
              <w:textAlignment w:val="center"/>
              <w:rPr>
                <w:rFonts w:ascii="宋体" w:hAnsi="宋体" w:eastAsia="宋体" w:cs="宋体"/>
                <w:sz w:val="15"/>
                <w:szCs w:val="15"/>
              </w:rPr>
            </w:pPr>
          </w:p>
        </w:tc>
        <w:tc>
          <w:tcPr>
            <w:tcW w:w="1179" w:type="dxa"/>
            <w:vAlign w:val="center"/>
          </w:tcPr>
          <w:p>
            <w:pPr>
              <w:widowControl/>
              <w:spacing w:line="240" w:lineRule="exact"/>
              <w:jc w:val="left"/>
              <w:textAlignment w:val="center"/>
              <w:rPr>
                <w:rFonts w:hint="eastAsia" w:ascii="宋体" w:hAnsi="宋体" w:eastAsia="宋体" w:cs="宋体"/>
                <w:kern w:val="0"/>
                <w:sz w:val="15"/>
                <w:szCs w:val="15"/>
                <w:lang w:val="en-US" w:eastAsia="zh-CN" w:bidi="ar-SA"/>
              </w:rPr>
            </w:pPr>
            <w:r>
              <w:rPr>
                <w:rFonts w:hint="eastAsia" w:ascii="宋体" w:hAnsi="宋体" w:eastAsia="宋体" w:cs="宋体"/>
                <w:sz w:val="15"/>
                <w:szCs w:val="15"/>
              </w:rPr>
              <w:t>电解厂动力车间一、二期电解系列稳流控制系统改造</w:t>
            </w:r>
          </w:p>
        </w:tc>
        <w:tc>
          <w:tcPr>
            <w:tcW w:w="819" w:type="dxa"/>
            <w:vAlign w:val="center"/>
          </w:tcPr>
          <w:p>
            <w:pPr>
              <w:widowControl/>
              <w:spacing w:line="240" w:lineRule="exact"/>
              <w:jc w:val="center"/>
              <w:textAlignment w:val="center"/>
              <w:rPr>
                <w:rFonts w:ascii="宋体" w:hAnsi="宋体" w:eastAsia="宋体" w:cs="宋体"/>
                <w:kern w:val="0"/>
                <w:sz w:val="15"/>
                <w:szCs w:val="15"/>
                <w:lang w:val="en-US" w:eastAsia="zh-CN" w:bidi="ar-SA"/>
              </w:rPr>
            </w:pPr>
            <w:r>
              <w:rPr>
                <w:rFonts w:hint="eastAsia" w:ascii="宋体" w:hAnsi="宋体" w:eastAsia="宋体" w:cs="宋体"/>
                <w:sz w:val="15"/>
                <w:szCs w:val="15"/>
              </w:rPr>
              <w:t>2</w:t>
            </w:r>
            <w:r>
              <w:rPr>
                <w:rFonts w:ascii="宋体" w:hAnsi="宋体" w:eastAsia="宋体" w:cs="宋体"/>
                <w:sz w:val="15"/>
                <w:szCs w:val="15"/>
              </w:rPr>
              <w:t>6</w:t>
            </w:r>
            <w:r>
              <w:rPr>
                <w:rFonts w:hint="eastAsia" w:ascii="宋体" w:hAnsi="宋体" w:eastAsia="宋体" w:cs="宋体"/>
                <w:sz w:val="15"/>
                <w:szCs w:val="15"/>
              </w:rPr>
              <w:t>.5</w:t>
            </w:r>
          </w:p>
        </w:tc>
        <w:tc>
          <w:tcPr>
            <w:tcW w:w="640" w:type="dxa"/>
            <w:vAlign w:val="center"/>
          </w:tcPr>
          <w:p>
            <w:pPr>
              <w:widowControl/>
              <w:spacing w:line="240" w:lineRule="exact"/>
              <w:jc w:val="center"/>
              <w:textAlignment w:val="center"/>
              <w:rPr>
                <w:rFonts w:hint="eastAsia" w:ascii="宋体" w:hAnsi="宋体" w:eastAsia="宋体" w:cs="宋体"/>
                <w:kern w:val="0"/>
                <w:sz w:val="15"/>
                <w:szCs w:val="15"/>
                <w:lang w:val="en-US" w:eastAsia="zh-CN" w:bidi="ar-SA"/>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hint="eastAsia" w:ascii="宋体" w:hAnsi="宋体" w:eastAsia="宋体" w:cs="宋体"/>
                <w:kern w:val="0"/>
                <w:sz w:val="15"/>
                <w:szCs w:val="15"/>
                <w:lang w:val="en-US" w:eastAsia="zh-CN" w:bidi="ar-SA"/>
              </w:rPr>
            </w:pPr>
            <w:r>
              <w:rPr>
                <w:rFonts w:hint="eastAsia" w:ascii="宋体" w:hAnsi="宋体" w:eastAsia="宋体" w:cs="宋体"/>
                <w:sz w:val="15"/>
                <w:szCs w:val="15"/>
              </w:rPr>
              <w:t>对原有整流变压器稳流系统进行升级改造后，提高整流变偏移绕组参与调节精度，提升整流机组稳流控制效果，达到调整、稳定直流电流，减小系列供电波动，改善铝电解生产的电能质量，降低铝电解吨铝电耗的目的。</w:t>
            </w:r>
          </w:p>
        </w:tc>
        <w:tc>
          <w:tcPr>
            <w:tcW w:w="1134" w:type="dxa"/>
            <w:vAlign w:val="center"/>
          </w:tcPr>
          <w:p>
            <w:pPr>
              <w:widowControl/>
              <w:spacing w:line="240" w:lineRule="exact"/>
              <w:jc w:val="center"/>
              <w:textAlignment w:val="center"/>
              <w:rPr>
                <w:rFonts w:hint="eastAsia" w:ascii="宋体" w:hAnsi="宋体" w:eastAsia="宋体" w:cs="宋体"/>
                <w:kern w:val="0"/>
                <w:sz w:val="15"/>
                <w:szCs w:val="15"/>
                <w:lang w:val="en-US" w:eastAsia="zh-CN" w:bidi="ar-SA"/>
              </w:rPr>
            </w:pPr>
            <w:r>
              <w:rPr>
                <w:rFonts w:hint="eastAsia" w:ascii="宋体" w:hAnsi="宋体" w:eastAsia="宋体" w:cs="宋体"/>
                <w:sz w:val="15"/>
                <w:szCs w:val="15"/>
              </w:rPr>
              <w:t>202</w:t>
            </w:r>
            <w:r>
              <w:rPr>
                <w:rFonts w:ascii="宋体" w:hAnsi="宋体" w:eastAsia="宋体" w:cs="宋体"/>
                <w:sz w:val="15"/>
                <w:szCs w:val="15"/>
              </w:rPr>
              <w:t>2</w:t>
            </w:r>
            <w:r>
              <w:rPr>
                <w:rFonts w:hint="eastAsia" w:ascii="宋体" w:hAnsi="宋体" w:eastAsia="宋体" w:cs="宋体"/>
                <w:sz w:val="15"/>
                <w:szCs w:val="15"/>
              </w:rPr>
              <w:t>年</w:t>
            </w:r>
          </w:p>
        </w:tc>
        <w:tc>
          <w:tcPr>
            <w:tcW w:w="1729" w:type="dxa"/>
            <w:vMerge w:val="continue"/>
            <w:vAlign w:val="center"/>
          </w:tcPr>
          <w:p>
            <w:pPr>
              <w:widowControl/>
              <w:spacing w:line="240" w:lineRule="exact"/>
              <w:jc w:val="center"/>
              <w:textAlignment w:val="center"/>
              <w:rPr>
                <w:rFonts w:ascii="宋体" w:hAnsi="宋体" w:eastAsia="宋体" w:cs="宋体"/>
                <w:sz w:val="15"/>
                <w:szCs w:val="15"/>
              </w:rPr>
            </w:pPr>
          </w:p>
        </w:tc>
        <w:tc>
          <w:tcPr>
            <w:tcW w:w="1895" w:type="dxa"/>
            <w:vAlign w:val="center"/>
          </w:tcPr>
          <w:p>
            <w:pPr>
              <w:widowControl/>
              <w:spacing w:line="240" w:lineRule="exact"/>
              <w:jc w:val="center"/>
              <w:textAlignment w:val="center"/>
              <w:rPr>
                <w:rFonts w:hint="eastAsia" w:ascii="宋体" w:hAnsi="宋体" w:eastAsia="宋体" w:cs="宋体"/>
                <w:kern w:val="0"/>
                <w:sz w:val="15"/>
                <w:szCs w:val="15"/>
                <w:lang w:val="en-US" w:eastAsia="zh-CN" w:bidi="ar-SA"/>
              </w:rPr>
            </w:pPr>
            <w:r>
              <w:rPr>
                <w:rFonts w:hint="eastAsia" w:ascii="宋体" w:hAnsi="宋体" w:eastAsia="宋体" w:cs="黑体"/>
                <w:color w:val="000000"/>
                <w:kern w:val="0"/>
                <w:sz w:val="15"/>
                <w:szCs w:val="15"/>
                <w:lang w:val="en-US" w:eastAsia="zh-CN" w:bidi="ar"/>
              </w:rPr>
              <w:t>铝液综合电耗较实施前降低22（kWh/t）</w:t>
            </w:r>
          </w:p>
        </w:tc>
        <w:tc>
          <w:tcPr>
            <w:tcW w:w="726" w:type="dxa"/>
            <w:vAlign w:val="center"/>
          </w:tcPr>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rPr>
              <w:t>升级</w:t>
            </w:r>
          </w:p>
          <w:p>
            <w:pPr>
              <w:widowControl/>
              <w:spacing w:line="240" w:lineRule="exact"/>
              <w:jc w:val="center"/>
              <w:textAlignment w:val="center"/>
              <w:rPr>
                <w:rFonts w:hint="eastAsia" w:ascii="宋体" w:hAnsi="宋体" w:eastAsia="宋体" w:cs="宋体"/>
                <w:kern w:val="0"/>
                <w:sz w:val="15"/>
                <w:szCs w:val="15"/>
                <w:lang w:val="en-US" w:eastAsia="zh-CN" w:bidi="ar-SA"/>
              </w:rPr>
            </w:pPr>
            <w:r>
              <w:rPr>
                <w:rFonts w:hint="eastAsia" w:ascii="宋体" w:hAnsi="宋体" w:eastAsia="宋体" w:cs="宋体"/>
                <w:kern w:val="0"/>
                <w:sz w:val="15"/>
                <w:szCs w:val="15"/>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jc w:val="center"/>
        </w:trPr>
        <w:tc>
          <w:tcPr>
            <w:tcW w:w="378" w:type="dxa"/>
            <w:vMerge w:val="continue"/>
            <w:vAlign w:val="center"/>
          </w:tcPr>
          <w:p>
            <w:pPr>
              <w:widowControl/>
              <w:spacing w:line="240" w:lineRule="exact"/>
              <w:jc w:val="center"/>
              <w:textAlignment w:val="center"/>
              <w:rPr>
                <w:rFonts w:ascii="宋体" w:hAnsi="宋体" w:eastAsia="宋体" w:cs="宋体"/>
                <w:kern w:val="0"/>
                <w:sz w:val="15"/>
                <w:szCs w:val="15"/>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vAlign w:val="center"/>
          </w:tcPr>
          <w:p>
            <w:pPr>
              <w:widowControl/>
              <w:spacing w:line="240" w:lineRule="exact"/>
              <w:jc w:val="left"/>
              <w:textAlignment w:val="center"/>
              <w:rPr>
                <w:rFonts w:ascii="宋体" w:hAnsi="宋体" w:eastAsia="宋体" w:cs="宋体"/>
                <w:sz w:val="15"/>
                <w:szCs w:val="15"/>
              </w:rPr>
            </w:pPr>
          </w:p>
        </w:tc>
        <w:tc>
          <w:tcPr>
            <w:tcW w:w="888" w:type="dxa"/>
            <w:vMerge w:val="continue"/>
            <w:vAlign w:val="center"/>
          </w:tcPr>
          <w:p>
            <w:pPr>
              <w:widowControl/>
              <w:spacing w:line="240" w:lineRule="exact"/>
              <w:jc w:val="center"/>
              <w:textAlignment w:val="center"/>
              <w:rPr>
                <w:rFonts w:ascii="宋体" w:hAnsi="宋体" w:eastAsia="宋体" w:cs="宋体"/>
                <w:sz w:val="15"/>
                <w:szCs w:val="15"/>
              </w:rPr>
            </w:pPr>
          </w:p>
        </w:tc>
        <w:tc>
          <w:tcPr>
            <w:tcW w:w="1179" w:type="dxa"/>
            <w:vAlign w:val="center"/>
          </w:tcPr>
          <w:p>
            <w:pPr>
              <w:widowControl/>
              <w:spacing w:line="240" w:lineRule="exact"/>
              <w:jc w:val="left"/>
              <w:textAlignment w:val="center"/>
              <w:rPr>
                <w:rFonts w:ascii="宋体" w:hAnsi="宋体" w:eastAsia="宋体" w:cs="宋体"/>
                <w:sz w:val="15"/>
                <w:szCs w:val="15"/>
              </w:rPr>
            </w:pPr>
            <w:r>
              <w:rPr>
                <w:rFonts w:hint="eastAsia" w:ascii="宋体" w:hAnsi="宋体" w:eastAsia="宋体" w:cs="宋体"/>
                <w:sz w:val="15"/>
                <w:szCs w:val="15"/>
              </w:rPr>
              <w:t>电解槽槽控机升级改造</w:t>
            </w:r>
          </w:p>
        </w:tc>
        <w:tc>
          <w:tcPr>
            <w:tcW w:w="819" w:type="dxa"/>
            <w:vAlign w:val="center"/>
          </w:tcPr>
          <w:p>
            <w:pPr>
              <w:widowControl/>
              <w:spacing w:line="240" w:lineRule="exact"/>
              <w:jc w:val="center"/>
              <w:textAlignment w:val="center"/>
              <w:rPr>
                <w:rFonts w:ascii="宋体" w:hAnsi="宋体" w:eastAsia="宋体" w:cs="宋体"/>
                <w:sz w:val="15"/>
                <w:szCs w:val="15"/>
              </w:rPr>
            </w:pPr>
            <w:r>
              <w:rPr>
                <w:rFonts w:ascii="宋体" w:hAnsi="宋体" w:eastAsia="宋体" w:cs="宋体"/>
                <w:sz w:val="15"/>
                <w:szCs w:val="15"/>
              </w:rPr>
              <w:t>1450</w:t>
            </w:r>
          </w:p>
        </w:tc>
        <w:tc>
          <w:tcPr>
            <w:tcW w:w="640" w:type="dxa"/>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ascii="宋体" w:hAnsi="宋体" w:eastAsia="宋体" w:cs="宋体"/>
                <w:sz w:val="15"/>
                <w:szCs w:val="15"/>
              </w:rPr>
            </w:pPr>
            <w:r>
              <w:rPr>
                <w:rFonts w:hint="eastAsia" w:ascii="宋体" w:hAnsi="宋体" w:eastAsia="宋体" w:cs="宋体"/>
                <w:sz w:val="15"/>
                <w:szCs w:val="15"/>
              </w:rPr>
              <w:t>对电解一、二车间12个工区共计472台电解槽智能模糊控制系统升级改造，提供可行的槽况预判分析和数据分析。满足精准物料控制和精准换极控制，不具备如下料控制、换极处下料精准控制，实现精益管控节能的目的。</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eastAsia="zh-CN"/>
              </w:rPr>
            </w:pPr>
            <w:r>
              <w:rPr>
                <w:rFonts w:hint="eastAsia" w:ascii="宋体" w:hAnsi="宋体" w:eastAsia="宋体" w:cs="宋体"/>
                <w:sz w:val="15"/>
                <w:szCs w:val="15"/>
              </w:rPr>
              <w:t>2022</w:t>
            </w:r>
            <w:r>
              <w:rPr>
                <w:rFonts w:hint="eastAsia" w:ascii="宋体" w:hAnsi="宋体" w:eastAsia="宋体" w:cs="宋体"/>
                <w:sz w:val="15"/>
                <w:szCs w:val="15"/>
                <w:lang w:eastAsia="zh-CN"/>
              </w:rPr>
              <w:t>年</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2023年</w:t>
            </w:r>
          </w:p>
        </w:tc>
        <w:tc>
          <w:tcPr>
            <w:tcW w:w="1729" w:type="dxa"/>
            <w:vMerge w:val="continue"/>
            <w:vAlign w:val="center"/>
          </w:tcPr>
          <w:p>
            <w:pPr>
              <w:widowControl/>
              <w:spacing w:line="240" w:lineRule="exact"/>
              <w:jc w:val="center"/>
              <w:textAlignment w:val="center"/>
              <w:rPr>
                <w:rFonts w:ascii="宋体" w:hAnsi="宋体" w:eastAsia="宋体" w:cs="宋体"/>
                <w:sz w:val="15"/>
                <w:szCs w:val="15"/>
              </w:rPr>
            </w:pPr>
          </w:p>
        </w:tc>
        <w:tc>
          <w:tcPr>
            <w:tcW w:w="1895" w:type="dxa"/>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黑体"/>
                <w:color w:val="000000"/>
                <w:kern w:val="0"/>
                <w:sz w:val="15"/>
                <w:szCs w:val="15"/>
                <w:lang w:val="en-US" w:eastAsia="zh-CN" w:bidi="ar"/>
              </w:rPr>
              <w:t>铝液</w:t>
            </w:r>
            <w:r>
              <w:rPr>
                <w:rFonts w:hint="eastAsia" w:ascii="宋体" w:hAnsi="宋体" w:eastAsia="宋体" w:cs="黑体"/>
                <w:color w:val="000000"/>
                <w:kern w:val="0"/>
                <w:sz w:val="15"/>
                <w:szCs w:val="15"/>
                <w:lang w:eastAsia="zh-CN" w:bidi="ar"/>
              </w:rPr>
              <w:t>电解</w:t>
            </w:r>
            <w:r>
              <w:rPr>
                <w:rFonts w:hint="eastAsia" w:ascii="宋体" w:hAnsi="宋体" w:eastAsia="宋体" w:cs="黑体"/>
                <w:color w:val="000000"/>
                <w:kern w:val="0"/>
                <w:sz w:val="15"/>
                <w:szCs w:val="15"/>
                <w:lang w:bidi="ar"/>
              </w:rPr>
              <w:t>直流电耗</w:t>
            </w:r>
            <w:r>
              <w:rPr>
                <w:rFonts w:hint="eastAsia" w:ascii="宋体" w:hAnsi="宋体" w:eastAsia="宋体" w:cs="宋体"/>
                <w:kern w:val="0"/>
                <w:sz w:val="15"/>
                <w:szCs w:val="15"/>
              </w:rPr>
              <w:t>1</w:t>
            </w:r>
            <w:r>
              <w:rPr>
                <w:rFonts w:ascii="宋体" w:hAnsi="宋体" w:eastAsia="宋体" w:cs="宋体"/>
                <w:kern w:val="0"/>
                <w:sz w:val="15"/>
                <w:szCs w:val="15"/>
              </w:rPr>
              <w:t>3006.69</w:t>
            </w:r>
            <w:r>
              <w:rPr>
                <w:rFonts w:hint="eastAsia" w:ascii="宋体" w:hAnsi="宋体" w:eastAsia="宋体" w:cs="宋体"/>
                <w:color w:val="000000"/>
                <w:kern w:val="0"/>
                <w:sz w:val="15"/>
                <w:szCs w:val="15"/>
              </w:rPr>
              <w:t>(kwh/t</w:t>
            </w:r>
            <w:r>
              <w:rPr>
                <w:rFonts w:hint="eastAsia" w:ascii="宋体" w:hAnsi="宋体" w:eastAsia="宋体" w:cs="宋体"/>
                <w:color w:val="000000"/>
                <w:kern w:val="0"/>
                <w:sz w:val="15"/>
                <w:szCs w:val="15"/>
                <w:lang w:eastAsia="zh-CN"/>
              </w:rPr>
              <w:t>）</w:t>
            </w:r>
          </w:p>
        </w:tc>
        <w:tc>
          <w:tcPr>
            <w:tcW w:w="726" w:type="dxa"/>
            <w:vAlign w:val="center"/>
          </w:tcPr>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rPr>
              <w:t>升级</w:t>
            </w:r>
          </w:p>
          <w:p>
            <w:pPr>
              <w:widowControl/>
              <w:spacing w:line="240" w:lineRule="exact"/>
              <w:jc w:val="center"/>
              <w:textAlignment w:val="center"/>
              <w:rPr>
                <w:rFonts w:ascii="宋体" w:hAnsi="宋体" w:eastAsia="宋体" w:cs="宋体"/>
                <w:kern w:val="0"/>
                <w:sz w:val="15"/>
                <w:szCs w:val="15"/>
              </w:rPr>
            </w:pPr>
            <w:r>
              <w:rPr>
                <w:rFonts w:hint="eastAsia" w:ascii="宋体" w:hAnsi="宋体" w:eastAsia="宋体" w:cs="宋体"/>
                <w:kern w:val="0"/>
                <w:sz w:val="15"/>
                <w:szCs w:val="15"/>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lang w:val="en-US" w:eastAsia="zh-CN"/>
              </w:rPr>
            </w:pPr>
          </w:p>
        </w:tc>
        <w:tc>
          <w:tcPr>
            <w:tcW w:w="958" w:type="dxa"/>
            <w:vMerge w:val="continue"/>
            <w:vAlign w:val="center"/>
          </w:tcPr>
          <w:p>
            <w:pPr>
              <w:widowControl/>
              <w:spacing w:line="240" w:lineRule="exact"/>
              <w:jc w:val="center"/>
              <w:textAlignment w:val="center"/>
              <w:rPr>
                <w:rFonts w:hint="eastAsia" w:ascii="宋体" w:hAnsi="宋体" w:eastAsia="宋体" w:cs="宋体"/>
                <w:sz w:val="15"/>
                <w:szCs w:val="15"/>
                <w:lang w:eastAsia="zh-CN"/>
              </w:rPr>
            </w:pPr>
          </w:p>
        </w:tc>
        <w:tc>
          <w:tcPr>
            <w:tcW w:w="1223" w:type="dxa"/>
            <w:vMerge w:val="continue"/>
            <w:vAlign w:val="center"/>
          </w:tcPr>
          <w:p>
            <w:pPr>
              <w:widowControl/>
              <w:spacing w:line="240" w:lineRule="exact"/>
              <w:jc w:val="left"/>
              <w:textAlignment w:val="center"/>
              <w:rPr>
                <w:rFonts w:ascii="宋体" w:hAnsi="宋体" w:eastAsia="宋体" w:cs="宋体"/>
                <w:sz w:val="15"/>
                <w:szCs w:val="15"/>
              </w:rPr>
            </w:pPr>
          </w:p>
        </w:tc>
        <w:tc>
          <w:tcPr>
            <w:tcW w:w="888" w:type="dxa"/>
            <w:vMerge w:val="continue"/>
            <w:vAlign w:val="center"/>
          </w:tcPr>
          <w:p>
            <w:pPr>
              <w:widowControl/>
              <w:spacing w:line="240" w:lineRule="exact"/>
              <w:jc w:val="center"/>
              <w:textAlignment w:val="center"/>
              <w:rPr>
                <w:rFonts w:ascii="宋体" w:hAnsi="宋体" w:eastAsia="宋体" w:cs="宋体"/>
                <w:sz w:val="15"/>
                <w:szCs w:val="15"/>
              </w:rPr>
            </w:pPr>
          </w:p>
        </w:tc>
        <w:tc>
          <w:tcPr>
            <w:tcW w:w="1179" w:type="dxa"/>
            <w:vAlign w:val="center"/>
          </w:tcPr>
          <w:p>
            <w:pPr>
              <w:widowControl/>
              <w:spacing w:line="240" w:lineRule="exact"/>
              <w:jc w:val="left"/>
              <w:textAlignment w:val="center"/>
              <w:rPr>
                <w:rFonts w:ascii="宋体" w:hAnsi="宋体" w:eastAsia="宋体" w:cs="宋体"/>
                <w:sz w:val="15"/>
                <w:szCs w:val="15"/>
              </w:rPr>
            </w:pPr>
            <w:r>
              <w:rPr>
                <w:rFonts w:hint="eastAsia" w:ascii="宋体" w:hAnsi="宋体" w:eastAsia="宋体" w:cs="宋体"/>
                <w:sz w:val="15"/>
                <w:szCs w:val="15"/>
              </w:rPr>
              <w:t>组合式干燥器改造</w:t>
            </w:r>
          </w:p>
        </w:tc>
        <w:tc>
          <w:tcPr>
            <w:tcW w:w="819" w:type="dxa"/>
            <w:vAlign w:val="center"/>
          </w:tcPr>
          <w:p>
            <w:pPr>
              <w:widowControl/>
              <w:spacing w:line="240" w:lineRule="exact"/>
              <w:jc w:val="center"/>
              <w:textAlignment w:val="center"/>
              <w:rPr>
                <w:rFonts w:ascii="宋体" w:hAnsi="宋体" w:eastAsia="宋体" w:cs="宋体"/>
                <w:sz w:val="15"/>
                <w:szCs w:val="15"/>
              </w:rPr>
            </w:pPr>
            <w:r>
              <w:rPr>
                <w:rFonts w:ascii="宋体" w:hAnsi="宋体" w:eastAsia="宋体" w:cs="宋体"/>
                <w:sz w:val="15"/>
                <w:szCs w:val="15"/>
              </w:rPr>
              <w:t>939.78</w:t>
            </w:r>
          </w:p>
        </w:tc>
        <w:tc>
          <w:tcPr>
            <w:tcW w:w="640" w:type="dxa"/>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ascii="宋体" w:hAnsi="宋体" w:eastAsia="宋体" w:cs="宋体"/>
                <w:sz w:val="15"/>
                <w:szCs w:val="15"/>
              </w:rPr>
            </w:pPr>
            <w:r>
              <w:rPr>
                <w:rFonts w:hint="eastAsia" w:ascii="宋体" w:hAnsi="宋体" w:eastAsia="宋体" w:cs="宋体"/>
                <w:sz w:val="15"/>
                <w:szCs w:val="15"/>
              </w:rPr>
              <w:t>11台组合式干燥器改造为鼓风零气耗吸附式干燥机，拆除原变压器，采购、安装4台10kV最新型节能型油浸式1250KVA变压器。</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eastAsia="zh-CN"/>
              </w:rPr>
            </w:pPr>
            <w:r>
              <w:rPr>
                <w:rFonts w:hint="eastAsia" w:ascii="宋体" w:hAnsi="宋体" w:eastAsia="宋体" w:cs="宋体"/>
                <w:sz w:val="15"/>
                <w:szCs w:val="15"/>
              </w:rPr>
              <w:t>2022</w:t>
            </w:r>
            <w:r>
              <w:rPr>
                <w:rFonts w:hint="eastAsia" w:ascii="宋体" w:hAnsi="宋体" w:eastAsia="宋体" w:cs="宋体"/>
                <w:sz w:val="15"/>
                <w:szCs w:val="15"/>
                <w:lang w:eastAsia="zh-CN"/>
              </w:rPr>
              <w:t>年</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2023年</w:t>
            </w:r>
          </w:p>
        </w:tc>
        <w:tc>
          <w:tcPr>
            <w:tcW w:w="1729" w:type="dxa"/>
            <w:vMerge w:val="continue"/>
            <w:vAlign w:val="center"/>
          </w:tcPr>
          <w:p>
            <w:pPr>
              <w:widowControl/>
              <w:spacing w:line="240" w:lineRule="exact"/>
              <w:jc w:val="center"/>
              <w:textAlignment w:val="center"/>
              <w:rPr>
                <w:rFonts w:ascii="宋体" w:hAnsi="宋体" w:eastAsia="宋体" w:cs="宋体"/>
                <w:sz w:val="15"/>
                <w:szCs w:val="15"/>
              </w:rPr>
            </w:pPr>
          </w:p>
        </w:tc>
        <w:tc>
          <w:tcPr>
            <w:tcW w:w="1895" w:type="dxa"/>
            <w:vAlign w:val="center"/>
          </w:tcPr>
          <w:p>
            <w:pPr>
              <w:widowControl/>
              <w:spacing w:line="240" w:lineRule="exact"/>
              <w:jc w:val="center"/>
              <w:textAlignment w:val="center"/>
              <w:rPr>
                <w:rFonts w:ascii="宋体" w:hAnsi="宋体" w:eastAsia="宋体" w:cs="宋体"/>
                <w:kern w:val="0"/>
                <w:sz w:val="15"/>
                <w:szCs w:val="15"/>
              </w:rPr>
            </w:pPr>
            <w:r>
              <w:rPr>
                <w:rFonts w:hint="eastAsia" w:ascii="宋体" w:hAnsi="宋体" w:eastAsia="宋体" w:cs="黑体"/>
                <w:color w:val="000000"/>
                <w:kern w:val="0"/>
                <w:sz w:val="15"/>
                <w:szCs w:val="15"/>
                <w:lang w:val="en-US" w:eastAsia="zh-CN" w:bidi="ar"/>
              </w:rPr>
              <w:t>铝液综合电耗较实施前降低26（kWh/t）</w:t>
            </w:r>
          </w:p>
        </w:tc>
        <w:tc>
          <w:tcPr>
            <w:tcW w:w="726" w:type="dxa"/>
            <w:vAlign w:val="center"/>
          </w:tcPr>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rPr>
              <w:t>升级</w:t>
            </w:r>
          </w:p>
          <w:p>
            <w:pPr>
              <w:widowControl/>
              <w:spacing w:line="240" w:lineRule="exact"/>
              <w:jc w:val="center"/>
              <w:textAlignment w:val="center"/>
              <w:rPr>
                <w:rFonts w:ascii="宋体" w:hAnsi="宋体" w:eastAsia="宋体" w:cs="宋体"/>
                <w:kern w:val="0"/>
                <w:sz w:val="15"/>
                <w:szCs w:val="15"/>
              </w:rPr>
            </w:pPr>
            <w:r>
              <w:rPr>
                <w:rFonts w:hint="eastAsia" w:ascii="宋体" w:hAnsi="宋体" w:eastAsia="宋体" w:cs="宋体"/>
                <w:kern w:val="0"/>
                <w:sz w:val="15"/>
                <w:szCs w:val="15"/>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378" w:type="dxa"/>
            <w:vMerge w:val="restart"/>
            <w:vAlign w:val="center"/>
          </w:tcPr>
          <w:p>
            <w:pPr>
              <w:widowControl/>
              <w:spacing w:line="240" w:lineRule="exact"/>
              <w:jc w:val="center"/>
              <w:textAlignment w:val="center"/>
              <w:rPr>
                <w:rFonts w:hint="eastAsia"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3</w:t>
            </w:r>
          </w:p>
        </w:tc>
        <w:tc>
          <w:tcPr>
            <w:tcW w:w="958" w:type="dxa"/>
            <w:vMerge w:val="restart"/>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宋体"/>
                <w:sz w:val="15"/>
                <w:szCs w:val="15"/>
                <w:lang w:eastAsia="zh-CN"/>
              </w:rPr>
              <w:t>电解铝</w:t>
            </w:r>
          </w:p>
        </w:tc>
        <w:tc>
          <w:tcPr>
            <w:tcW w:w="1223" w:type="dxa"/>
            <w:vMerge w:val="restart"/>
            <w:vAlign w:val="center"/>
          </w:tcPr>
          <w:p>
            <w:pPr>
              <w:widowControl/>
              <w:spacing w:line="240" w:lineRule="exact"/>
              <w:jc w:val="left"/>
              <w:textAlignment w:val="center"/>
              <w:rPr>
                <w:rFonts w:ascii="宋体" w:hAnsi="宋体" w:eastAsia="宋体" w:cs="宋体"/>
                <w:sz w:val="15"/>
                <w:szCs w:val="15"/>
              </w:rPr>
            </w:pPr>
            <w:r>
              <w:rPr>
                <w:rFonts w:hint="eastAsia" w:ascii="宋体" w:hAnsi="宋体" w:eastAsia="宋体" w:cs="宋体"/>
                <w:color w:val="auto"/>
                <w:sz w:val="15"/>
                <w:szCs w:val="15"/>
              </w:rPr>
              <w:t>青海桥头铝电有限责任公司</w:t>
            </w:r>
          </w:p>
        </w:tc>
        <w:tc>
          <w:tcPr>
            <w:tcW w:w="888" w:type="dxa"/>
            <w:vMerge w:val="restart"/>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宋体"/>
                <w:sz w:val="15"/>
                <w:szCs w:val="15"/>
                <w:lang w:eastAsia="zh-CN"/>
              </w:rPr>
              <w:t>青海省</w:t>
            </w:r>
            <w:r>
              <w:rPr>
                <w:rFonts w:hint="eastAsia" w:ascii="宋体" w:hAnsi="宋体" w:eastAsia="宋体" w:cs="宋体"/>
                <w:sz w:val="15"/>
                <w:szCs w:val="15"/>
              </w:rPr>
              <w:t>西宁市</w:t>
            </w:r>
            <w:r>
              <w:rPr>
                <w:rFonts w:hint="eastAsia" w:ascii="宋体" w:hAnsi="宋体" w:eastAsia="宋体" w:cs="宋体"/>
                <w:sz w:val="15"/>
                <w:szCs w:val="15"/>
                <w:lang w:eastAsia="zh-CN"/>
              </w:rPr>
              <w:t>大通县</w:t>
            </w:r>
          </w:p>
        </w:tc>
        <w:tc>
          <w:tcPr>
            <w:tcW w:w="1179" w:type="dxa"/>
            <w:vAlign w:val="center"/>
          </w:tcPr>
          <w:p>
            <w:pPr>
              <w:widowControl/>
              <w:spacing w:line="240" w:lineRule="exact"/>
              <w:jc w:val="left"/>
              <w:textAlignment w:val="center"/>
              <w:rPr>
                <w:rFonts w:ascii="宋体" w:hAnsi="宋体" w:eastAsia="宋体" w:cs="宋体"/>
                <w:sz w:val="15"/>
                <w:szCs w:val="15"/>
              </w:rPr>
            </w:pPr>
            <w:r>
              <w:rPr>
                <w:rFonts w:hint="eastAsia" w:ascii="宋体" w:hAnsi="宋体" w:eastAsia="宋体" w:cs="宋体"/>
                <w:sz w:val="15"/>
                <w:szCs w:val="15"/>
              </w:rPr>
              <w:t>分布式光伏建设项目</w:t>
            </w:r>
          </w:p>
        </w:tc>
        <w:tc>
          <w:tcPr>
            <w:tcW w:w="819" w:type="dxa"/>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宋体"/>
                <w:sz w:val="15"/>
                <w:szCs w:val="15"/>
              </w:rPr>
              <w:t>8800</w:t>
            </w:r>
          </w:p>
        </w:tc>
        <w:tc>
          <w:tcPr>
            <w:tcW w:w="640" w:type="dxa"/>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ascii="宋体" w:hAnsi="宋体" w:eastAsia="宋体" w:cs="宋体"/>
                <w:sz w:val="15"/>
                <w:szCs w:val="15"/>
              </w:rPr>
            </w:pPr>
            <w:r>
              <w:rPr>
                <w:rFonts w:hint="eastAsia" w:ascii="宋体" w:hAnsi="宋体" w:eastAsia="宋体" w:cs="宋体"/>
                <w:sz w:val="15"/>
                <w:szCs w:val="15"/>
              </w:rPr>
              <w:t>计划在一、二期厂区屋顶及空余场地安装28MW分布式光伏发电设备，接入厂区供电系统。</w:t>
            </w:r>
          </w:p>
        </w:tc>
        <w:tc>
          <w:tcPr>
            <w:tcW w:w="1134" w:type="dxa"/>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宋体"/>
                <w:sz w:val="15"/>
                <w:szCs w:val="15"/>
              </w:rPr>
              <w:t>2</w:t>
            </w:r>
            <w:r>
              <w:rPr>
                <w:rFonts w:ascii="宋体" w:hAnsi="宋体" w:eastAsia="宋体" w:cs="宋体"/>
                <w:sz w:val="15"/>
                <w:szCs w:val="15"/>
              </w:rPr>
              <w:t>023</w:t>
            </w:r>
            <w:r>
              <w:rPr>
                <w:rFonts w:hint="eastAsia" w:ascii="宋体" w:hAnsi="宋体" w:eastAsia="宋体" w:cs="宋体"/>
                <w:sz w:val="15"/>
                <w:szCs w:val="15"/>
              </w:rPr>
              <w:t>年</w:t>
            </w:r>
          </w:p>
        </w:tc>
        <w:tc>
          <w:tcPr>
            <w:tcW w:w="1729" w:type="dxa"/>
            <w:vMerge w:val="restart"/>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宋体"/>
                <w:color w:val="000000"/>
                <w:kern w:val="0"/>
                <w:sz w:val="15"/>
                <w:szCs w:val="15"/>
              </w:rPr>
              <w:t>铝液电解交流电耗</w:t>
            </w:r>
            <w:r>
              <w:rPr>
                <w:rFonts w:ascii="宋体" w:hAnsi="宋体" w:eastAsia="宋体" w:cs="宋体"/>
                <w:sz w:val="15"/>
                <w:szCs w:val="15"/>
              </w:rPr>
              <w:t>13243.08</w:t>
            </w:r>
            <w:r>
              <w:rPr>
                <w:rFonts w:hint="eastAsia" w:ascii="宋体" w:hAnsi="宋体" w:eastAsia="宋体" w:cs="黑体"/>
                <w:color w:val="000000"/>
                <w:kern w:val="0"/>
                <w:sz w:val="15"/>
                <w:szCs w:val="15"/>
                <w:lang w:eastAsia="zh-CN" w:bidi="ar"/>
              </w:rPr>
              <w:t>（</w:t>
            </w:r>
            <w:r>
              <w:rPr>
                <w:rFonts w:hint="eastAsia" w:ascii="宋体" w:hAnsi="宋体" w:eastAsia="宋体" w:cs="黑体"/>
                <w:color w:val="000000"/>
                <w:kern w:val="0"/>
                <w:sz w:val="15"/>
                <w:szCs w:val="15"/>
                <w:lang w:bidi="ar"/>
              </w:rPr>
              <w:t>kWh/t</w:t>
            </w:r>
            <w:r>
              <w:rPr>
                <w:rFonts w:hint="eastAsia" w:ascii="宋体" w:hAnsi="宋体" w:eastAsia="宋体" w:cs="黑体"/>
                <w:color w:val="000000"/>
                <w:kern w:val="0"/>
                <w:sz w:val="15"/>
                <w:szCs w:val="15"/>
                <w:lang w:eastAsia="zh-CN" w:bidi="ar"/>
              </w:rPr>
              <w:t>）</w:t>
            </w:r>
          </w:p>
          <w:p>
            <w:pPr>
              <w:widowControl/>
              <w:spacing w:line="240" w:lineRule="exact"/>
              <w:jc w:val="center"/>
              <w:textAlignment w:val="center"/>
              <w:rPr>
                <w:rFonts w:ascii="宋体" w:hAnsi="宋体" w:eastAsia="宋体" w:cs="宋体"/>
                <w:sz w:val="15"/>
                <w:szCs w:val="15"/>
              </w:rPr>
            </w:pPr>
            <w:r>
              <w:rPr>
                <w:rFonts w:hint="eastAsia" w:ascii="宋体" w:hAnsi="宋体" w:eastAsia="宋体" w:cs="宋体"/>
                <w:color w:val="000000"/>
                <w:kern w:val="0"/>
                <w:sz w:val="15"/>
                <w:szCs w:val="15"/>
              </w:rPr>
              <w:t>（ 基准水平）</w:t>
            </w:r>
          </w:p>
        </w:tc>
        <w:tc>
          <w:tcPr>
            <w:tcW w:w="1895" w:type="dxa"/>
            <w:vAlign w:val="center"/>
          </w:tcPr>
          <w:p>
            <w:pPr>
              <w:widowControl/>
              <w:spacing w:line="240" w:lineRule="exact"/>
              <w:jc w:val="center"/>
              <w:textAlignment w:val="center"/>
              <w:rPr>
                <w:rFonts w:hint="eastAsia" w:ascii="宋体" w:hAnsi="宋体" w:eastAsia="宋体" w:cs="黑体"/>
                <w:color w:val="000000"/>
                <w:kern w:val="0"/>
                <w:sz w:val="15"/>
                <w:szCs w:val="15"/>
                <w:lang w:val="en-US" w:eastAsia="zh-CN" w:bidi="ar"/>
              </w:rPr>
            </w:pPr>
            <w:r>
              <w:rPr>
                <w:rFonts w:hint="eastAsia" w:ascii="宋体" w:hAnsi="宋体" w:eastAsia="宋体" w:cs="黑体"/>
                <w:color w:val="000000"/>
                <w:kern w:val="0"/>
                <w:sz w:val="15"/>
                <w:szCs w:val="15"/>
                <w:lang w:val="en-US" w:eastAsia="zh-CN" w:bidi="ar"/>
              </w:rPr>
              <w:t>年度可提供约2700万kWh的绿色电能</w:t>
            </w:r>
          </w:p>
        </w:tc>
        <w:tc>
          <w:tcPr>
            <w:tcW w:w="726" w:type="dxa"/>
            <w:vAlign w:val="center"/>
          </w:tcPr>
          <w:p>
            <w:pPr>
              <w:widowControl/>
              <w:spacing w:line="240" w:lineRule="exact"/>
              <w:jc w:val="center"/>
              <w:textAlignment w:val="center"/>
              <w:rPr>
                <w:rFonts w:ascii="宋体" w:hAnsi="宋体" w:eastAsia="宋体" w:cs="宋体"/>
                <w:kern w:val="0"/>
                <w:sz w:val="15"/>
                <w:szCs w:val="15"/>
              </w:rPr>
            </w:pPr>
            <w:r>
              <w:rPr>
                <w:rFonts w:hint="eastAsia" w:ascii="宋体" w:hAnsi="宋体" w:eastAsia="宋体" w:cs="宋体"/>
                <w:kern w:val="0"/>
                <w:sz w:val="15"/>
                <w:szCs w:val="15"/>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378" w:type="dxa"/>
            <w:vMerge w:val="continue"/>
            <w:vAlign w:val="center"/>
          </w:tcPr>
          <w:p>
            <w:pPr>
              <w:widowControl/>
              <w:spacing w:line="240" w:lineRule="exact"/>
              <w:jc w:val="center"/>
              <w:textAlignment w:val="center"/>
              <w:rPr>
                <w:rFonts w:ascii="宋体" w:hAnsi="宋体" w:eastAsia="宋体" w:cs="宋体"/>
                <w:kern w:val="0"/>
                <w:sz w:val="15"/>
                <w:szCs w:val="15"/>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vAlign w:val="center"/>
          </w:tcPr>
          <w:p>
            <w:pPr>
              <w:widowControl/>
              <w:spacing w:line="240" w:lineRule="exact"/>
              <w:jc w:val="left"/>
              <w:textAlignment w:val="center"/>
              <w:rPr>
                <w:rFonts w:ascii="宋体" w:hAnsi="宋体" w:eastAsia="宋体" w:cs="宋体"/>
                <w:sz w:val="15"/>
                <w:szCs w:val="15"/>
              </w:rPr>
            </w:pPr>
          </w:p>
        </w:tc>
        <w:tc>
          <w:tcPr>
            <w:tcW w:w="888" w:type="dxa"/>
            <w:vMerge w:val="continue"/>
            <w:vAlign w:val="center"/>
          </w:tcPr>
          <w:p>
            <w:pPr>
              <w:widowControl/>
              <w:spacing w:line="240" w:lineRule="exact"/>
              <w:jc w:val="center"/>
              <w:textAlignment w:val="center"/>
              <w:rPr>
                <w:rFonts w:ascii="宋体" w:hAnsi="宋体" w:eastAsia="宋体" w:cs="宋体"/>
                <w:sz w:val="15"/>
                <w:szCs w:val="15"/>
              </w:rPr>
            </w:pPr>
          </w:p>
        </w:tc>
        <w:tc>
          <w:tcPr>
            <w:tcW w:w="1179" w:type="dxa"/>
            <w:vAlign w:val="center"/>
          </w:tcPr>
          <w:p>
            <w:pPr>
              <w:widowControl/>
              <w:spacing w:line="240" w:lineRule="exact"/>
              <w:jc w:val="left"/>
              <w:textAlignment w:val="center"/>
              <w:rPr>
                <w:rFonts w:ascii="宋体" w:hAnsi="宋体" w:eastAsia="宋体" w:cs="宋体"/>
                <w:sz w:val="15"/>
                <w:szCs w:val="15"/>
              </w:rPr>
            </w:pPr>
            <w:r>
              <w:rPr>
                <w:rFonts w:hint="eastAsia" w:ascii="宋体" w:hAnsi="宋体" w:eastAsia="宋体" w:cs="宋体"/>
                <w:sz w:val="15"/>
                <w:szCs w:val="15"/>
              </w:rPr>
              <w:t>预焙阳极开槽项目</w:t>
            </w:r>
          </w:p>
        </w:tc>
        <w:tc>
          <w:tcPr>
            <w:tcW w:w="819" w:type="dxa"/>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宋体"/>
                <w:sz w:val="15"/>
                <w:szCs w:val="15"/>
              </w:rPr>
              <w:t>6</w:t>
            </w:r>
            <w:r>
              <w:rPr>
                <w:rFonts w:ascii="宋体" w:hAnsi="宋体" w:eastAsia="宋体" w:cs="宋体"/>
                <w:sz w:val="15"/>
                <w:szCs w:val="15"/>
              </w:rPr>
              <w:t>23</w:t>
            </w:r>
          </w:p>
        </w:tc>
        <w:tc>
          <w:tcPr>
            <w:tcW w:w="640" w:type="dxa"/>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hint="eastAsia" w:ascii="宋体" w:hAnsi="宋体" w:eastAsia="宋体" w:cs="宋体"/>
                <w:sz w:val="15"/>
                <w:szCs w:val="15"/>
                <w:lang w:eastAsia="zh-CN"/>
              </w:rPr>
            </w:pPr>
            <w:r>
              <w:rPr>
                <w:rFonts w:hint="eastAsia" w:ascii="宋体" w:hAnsi="宋体" w:eastAsia="宋体" w:cs="宋体"/>
                <w:sz w:val="15"/>
                <w:szCs w:val="15"/>
              </w:rPr>
              <w:t>基于目前的生产基础，在不影响焙烧车间正常生产运转和炭块库炭块输送工作的前提下，增加4台阳极底部开槽机及相关的输送、除尘设施，实现阳极底部开槽批量生产，连续为电解提供开槽阳极</w:t>
            </w:r>
            <w:r>
              <w:rPr>
                <w:rFonts w:hint="eastAsia" w:ascii="宋体" w:hAnsi="宋体" w:eastAsia="宋体" w:cs="宋体"/>
                <w:sz w:val="15"/>
                <w:szCs w:val="15"/>
                <w:lang w:eastAsia="zh-CN"/>
              </w:rPr>
              <w:t>。</w:t>
            </w:r>
          </w:p>
        </w:tc>
        <w:tc>
          <w:tcPr>
            <w:tcW w:w="1134" w:type="dxa"/>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宋体"/>
                <w:sz w:val="15"/>
                <w:szCs w:val="15"/>
              </w:rPr>
              <w:t>2</w:t>
            </w:r>
            <w:r>
              <w:rPr>
                <w:rFonts w:ascii="宋体" w:hAnsi="宋体" w:eastAsia="宋体" w:cs="宋体"/>
                <w:sz w:val="15"/>
                <w:szCs w:val="15"/>
              </w:rPr>
              <w:t>023</w:t>
            </w:r>
            <w:r>
              <w:rPr>
                <w:rFonts w:hint="eastAsia" w:ascii="宋体" w:hAnsi="宋体" w:eastAsia="宋体" w:cs="宋体"/>
                <w:sz w:val="15"/>
                <w:szCs w:val="15"/>
              </w:rPr>
              <w:t>年</w:t>
            </w:r>
          </w:p>
        </w:tc>
        <w:tc>
          <w:tcPr>
            <w:tcW w:w="1729" w:type="dxa"/>
            <w:vMerge w:val="continue"/>
            <w:vAlign w:val="center"/>
          </w:tcPr>
          <w:p>
            <w:pPr>
              <w:widowControl/>
              <w:spacing w:line="240" w:lineRule="exact"/>
              <w:jc w:val="center"/>
              <w:textAlignment w:val="center"/>
              <w:rPr>
                <w:rFonts w:ascii="宋体" w:hAnsi="宋体" w:eastAsia="宋体" w:cs="宋体"/>
                <w:sz w:val="15"/>
                <w:szCs w:val="15"/>
              </w:rPr>
            </w:pPr>
          </w:p>
        </w:tc>
        <w:tc>
          <w:tcPr>
            <w:tcW w:w="1895" w:type="dxa"/>
            <w:vAlign w:val="center"/>
          </w:tcPr>
          <w:p>
            <w:pPr>
              <w:widowControl/>
              <w:spacing w:line="240" w:lineRule="exact"/>
              <w:jc w:val="center"/>
              <w:textAlignment w:val="center"/>
              <w:rPr>
                <w:rFonts w:hint="eastAsia" w:ascii="宋体" w:hAnsi="宋体" w:eastAsia="宋体" w:cs="黑体"/>
                <w:color w:val="000000"/>
                <w:kern w:val="0"/>
                <w:sz w:val="15"/>
                <w:szCs w:val="15"/>
                <w:lang w:val="en-US" w:eastAsia="zh-CN" w:bidi="ar"/>
              </w:rPr>
            </w:pPr>
            <w:r>
              <w:rPr>
                <w:rFonts w:hint="eastAsia" w:ascii="宋体" w:hAnsi="宋体" w:eastAsia="宋体" w:cs="黑体"/>
                <w:color w:val="000000"/>
                <w:kern w:val="0"/>
                <w:sz w:val="15"/>
                <w:szCs w:val="15"/>
                <w:lang w:val="en-US" w:eastAsia="zh-CN" w:bidi="ar"/>
              </w:rPr>
              <w:t>铝液综合电耗较实施前降低60（kWh/t）</w:t>
            </w:r>
          </w:p>
        </w:tc>
        <w:tc>
          <w:tcPr>
            <w:tcW w:w="726" w:type="dxa"/>
            <w:vAlign w:val="center"/>
          </w:tcPr>
          <w:p>
            <w:pPr>
              <w:widowControl/>
              <w:spacing w:line="240" w:lineRule="exact"/>
              <w:jc w:val="center"/>
              <w:textAlignment w:val="center"/>
              <w:rPr>
                <w:rFonts w:ascii="宋体" w:hAnsi="宋体" w:eastAsia="宋体" w:cs="宋体"/>
                <w:kern w:val="0"/>
                <w:sz w:val="15"/>
                <w:szCs w:val="15"/>
              </w:rPr>
            </w:pPr>
            <w:r>
              <w:rPr>
                <w:rFonts w:hint="eastAsia" w:ascii="宋体" w:hAnsi="宋体" w:eastAsia="宋体" w:cs="宋体"/>
                <w:kern w:val="0"/>
                <w:sz w:val="15"/>
                <w:szCs w:val="15"/>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378" w:type="dxa"/>
            <w:vMerge w:val="continue"/>
            <w:vAlign w:val="center"/>
          </w:tcPr>
          <w:p>
            <w:pPr>
              <w:widowControl/>
              <w:spacing w:line="240" w:lineRule="exact"/>
              <w:jc w:val="center"/>
              <w:textAlignment w:val="center"/>
              <w:rPr>
                <w:rFonts w:ascii="宋体" w:hAnsi="宋体" w:eastAsia="宋体" w:cs="宋体"/>
                <w:kern w:val="0"/>
                <w:sz w:val="15"/>
                <w:szCs w:val="15"/>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vAlign w:val="center"/>
          </w:tcPr>
          <w:p>
            <w:pPr>
              <w:widowControl/>
              <w:spacing w:line="240" w:lineRule="exact"/>
              <w:jc w:val="left"/>
              <w:textAlignment w:val="center"/>
              <w:rPr>
                <w:rFonts w:ascii="宋体" w:hAnsi="宋体" w:eastAsia="宋体" w:cs="宋体"/>
                <w:sz w:val="15"/>
                <w:szCs w:val="15"/>
              </w:rPr>
            </w:pPr>
          </w:p>
        </w:tc>
        <w:tc>
          <w:tcPr>
            <w:tcW w:w="888" w:type="dxa"/>
            <w:vMerge w:val="continue"/>
            <w:vAlign w:val="center"/>
          </w:tcPr>
          <w:p>
            <w:pPr>
              <w:widowControl/>
              <w:spacing w:line="240" w:lineRule="exact"/>
              <w:jc w:val="center"/>
              <w:textAlignment w:val="center"/>
              <w:rPr>
                <w:rFonts w:ascii="宋体" w:hAnsi="宋体" w:eastAsia="宋体" w:cs="宋体"/>
                <w:sz w:val="15"/>
                <w:szCs w:val="15"/>
              </w:rPr>
            </w:pPr>
          </w:p>
        </w:tc>
        <w:tc>
          <w:tcPr>
            <w:tcW w:w="1179" w:type="dxa"/>
            <w:vAlign w:val="center"/>
          </w:tcPr>
          <w:p>
            <w:pPr>
              <w:widowControl/>
              <w:spacing w:line="240" w:lineRule="exact"/>
              <w:jc w:val="left"/>
              <w:textAlignment w:val="center"/>
              <w:rPr>
                <w:rFonts w:ascii="宋体" w:hAnsi="宋体" w:eastAsia="宋体" w:cs="宋体"/>
                <w:color w:val="auto"/>
                <w:sz w:val="15"/>
                <w:szCs w:val="15"/>
              </w:rPr>
            </w:pPr>
            <w:r>
              <w:rPr>
                <w:rFonts w:hint="eastAsia" w:ascii="宋体" w:hAnsi="宋体" w:eastAsia="宋体" w:cs="宋体"/>
                <w:color w:val="auto"/>
                <w:sz w:val="15"/>
                <w:szCs w:val="15"/>
              </w:rPr>
              <w:t>新型节能阻流电解槽改造（</w:t>
            </w:r>
            <w:r>
              <w:rPr>
                <w:rFonts w:ascii="宋体" w:hAnsi="宋体" w:eastAsia="宋体" w:cs="宋体"/>
                <w:color w:val="auto"/>
                <w:sz w:val="15"/>
                <w:szCs w:val="15"/>
              </w:rPr>
              <w:t>6</w:t>
            </w:r>
            <w:r>
              <w:rPr>
                <w:rFonts w:hint="eastAsia" w:ascii="宋体" w:hAnsi="宋体" w:eastAsia="宋体" w:cs="宋体"/>
                <w:color w:val="auto"/>
                <w:sz w:val="15"/>
                <w:szCs w:val="15"/>
              </w:rPr>
              <w:t>0）</w:t>
            </w:r>
          </w:p>
        </w:tc>
        <w:tc>
          <w:tcPr>
            <w:tcW w:w="819" w:type="dxa"/>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宋体"/>
                <w:sz w:val="15"/>
                <w:szCs w:val="15"/>
              </w:rPr>
              <w:t>5247</w:t>
            </w:r>
          </w:p>
        </w:tc>
        <w:tc>
          <w:tcPr>
            <w:tcW w:w="640" w:type="dxa"/>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ascii="宋体" w:hAnsi="宋体" w:eastAsia="宋体" w:cs="宋体"/>
                <w:sz w:val="15"/>
                <w:szCs w:val="15"/>
              </w:rPr>
            </w:pPr>
            <w:r>
              <w:rPr>
                <w:rFonts w:hint="eastAsia" w:ascii="宋体" w:hAnsi="宋体" w:eastAsia="宋体" w:cs="宋体"/>
                <w:sz w:val="15"/>
                <w:szCs w:val="15"/>
              </w:rPr>
              <w:t>采用阴极组装磷生铁浇铸工艺、增加阴极钢棒截面积、电解槽内保温技术、50%石墨阴极炭块、侧部为氮化硅结合碳化硅块冷捣糊技术以及优化阴极组装工艺，实现电解槽在低电压下稳定运行，达到了铝电解槽高效节能的目的。</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eastAsia="zh-CN"/>
              </w:rPr>
            </w:pPr>
            <w:r>
              <w:rPr>
                <w:rFonts w:hint="eastAsia" w:ascii="宋体" w:hAnsi="宋体" w:eastAsia="宋体" w:cs="宋体"/>
                <w:sz w:val="15"/>
                <w:szCs w:val="15"/>
              </w:rPr>
              <w:t>2023</w:t>
            </w:r>
            <w:r>
              <w:rPr>
                <w:rFonts w:hint="eastAsia" w:ascii="宋体" w:hAnsi="宋体" w:eastAsia="宋体" w:cs="宋体"/>
                <w:sz w:val="15"/>
                <w:szCs w:val="15"/>
                <w:lang w:eastAsia="zh-CN"/>
              </w:rPr>
              <w:t>年</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2024年</w:t>
            </w:r>
          </w:p>
        </w:tc>
        <w:tc>
          <w:tcPr>
            <w:tcW w:w="1729" w:type="dxa"/>
            <w:vMerge w:val="continue"/>
            <w:vAlign w:val="center"/>
          </w:tcPr>
          <w:p>
            <w:pPr>
              <w:widowControl/>
              <w:spacing w:line="240" w:lineRule="exact"/>
              <w:jc w:val="center"/>
              <w:textAlignment w:val="center"/>
              <w:rPr>
                <w:rFonts w:ascii="宋体" w:hAnsi="宋体" w:eastAsia="宋体" w:cs="宋体"/>
                <w:sz w:val="15"/>
                <w:szCs w:val="15"/>
              </w:rPr>
            </w:pPr>
          </w:p>
        </w:tc>
        <w:tc>
          <w:tcPr>
            <w:tcW w:w="1895" w:type="dxa"/>
            <w:vAlign w:val="center"/>
          </w:tcPr>
          <w:p>
            <w:pPr>
              <w:widowControl/>
              <w:spacing w:line="240" w:lineRule="exact"/>
              <w:jc w:val="center"/>
              <w:textAlignment w:val="center"/>
              <w:rPr>
                <w:rFonts w:hint="eastAsia" w:ascii="宋体" w:hAnsi="宋体" w:eastAsia="宋体" w:cs="黑体"/>
                <w:color w:val="000000"/>
                <w:kern w:val="0"/>
                <w:sz w:val="15"/>
                <w:szCs w:val="15"/>
                <w:lang w:val="en-US" w:eastAsia="zh-CN" w:bidi="ar"/>
              </w:rPr>
            </w:pPr>
            <w:r>
              <w:rPr>
                <w:rFonts w:hint="eastAsia" w:ascii="宋体" w:hAnsi="宋体" w:eastAsia="宋体" w:cs="黑体"/>
                <w:color w:val="000000"/>
                <w:kern w:val="0"/>
                <w:sz w:val="15"/>
                <w:szCs w:val="15"/>
                <w:lang w:val="en-US" w:eastAsia="zh-CN" w:bidi="ar"/>
              </w:rPr>
              <w:t>铝液电解直流电耗12941(kwh/t）</w:t>
            </w:r>
          </w:p>
        </w:tc>
        <w:tc>
          <w:tcPr>
            <w:tcW w:w="726" w:type="dxa"/>
            <w:vAlign w:val="center"/>
          </w:tcPr>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rPr>
              <w:t>升级</w:t>
            </w:r>
          </w:p>
          <w:p>
            <w:pPr>
              <w:widowControl/>
              <w:spacing w:line="240" w:lineRule="exact"/>
              <w:jc w:val="center"/>
              <w:textAlignment w:val="center"/>
              <w:rPr>
                <w:rFonts w:ascii="宋体" w:hAnsi="宋体" w:eastAsia="宋体" w:cs="宋体"/>
                <w:kern w:val="0"/>
                <w:sz w:val="15"/>
                <w:szCs w:val="15"/>
              </w:rPr>
            </w:pPr>
            <w:r>
              <w:rPr>
                <w:rFonts w:hint="eastAsia" w:ascii="宋体" w:hAnsi="宋体" w:eastAsia="宋体" w:cs="宋体"/>
                <w:kern w:val="0"/>
                <w:sz w:val="15"/>
                <w:szCs w:val="15"/>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378" w:type="dxa"/>
            <w:vMerge w:val="continue"/>
            <w:vAlign w:val="center"/>
          </w:tcPr>
          <w:p>
            <w:pPr>
              <w:widowControl/>
              <w:spacing w:line="240" w:lineRule="exact"/>
              <w:jc w:val="center"/>
              <w:textAlignment w:val="center"/>
              <w:rPr>
                <w:rFonts w:ascii="宋体" w:hAnsi="宋体" w:eastAsia="宋体" w:cs="宋体"/>
                <w:kern w:val="0"/>
                <w:sz w:val="15"/>
                <w:szCs w:val="15"/>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vAlign w:val="center"/>
          </w:tcPr>
          <w:p>
            <w:pPr>
              <w:widowControl/>
              <w:spacing w:line="240" w:lineRule="exact"/>
              <w:jc w:val="left"/>
              <w:textAlignment w:val="center"/>
              <w:rPr>
                <w:rFonts w:ascii="宋体" w:hAnsi="宋体" w:eastAsia="宋体" w:cs="宋体"/>
                <w:sz w:val="15"/>
                <w:szCs w:val="15"/>
              </w:rPr>
            </w:pPr>
          </w:p>
        </w:tc>
        <w:tc>
          <w:tcPr>
            <w:tcW w:w="888" w:type="dxa"/>
            <w:vMerge w:val="continue"/>
            <w:vAlign w:val="center"/>
          </w:tcPr>
          <w:p>
            <w:pPr>
              <w:widowControl/>
              <w:spacing w:line="240" w:lineRule="exact"/>
              <w:jc w:val="center"/>
              <w:textAlignment w:val="center"/>
              <w:rPr>
                <w:rFonts w:ascii="宋体" w:hAnsi="宋体" w:eastAsia="宋体" w:cs="宋体"/>
                <w:sz w:val="15"/>
                <w:szCs w:val="15"/>
              </w:rPr>
            </w:pPr>
          </w:p>
        </w:tc>
        <w:tc>
          <w:tcPr>
            <w:tcW w:w="1179" w:type="dxa"/>
            <w:vAlign w:val="center"/>
          </w:tcPr>
          <w:p>
            <w:pPr>
              <w:widowControl/>
              <w:spacing w:line="240" w:lineRule="exact"/>
              <w:jc w:val="left"/>
              <w:textAlignment w:val="center"/>
              <w:rPr>
                <w:rFonts w:ascii="宋体" w:hAnsi="宋体" w:eastAsia="宋体" w:cs="宋体"/>
                <w:sz w:val="15"/>
                <w:szCs w:val="15"/>
              </w:rPr>
            </w:pPr>
            <w:r>
              <w:rPr>
                <w:rFonts w:hint="eastAsia" w:ascii="宋体" w:hAnsi="宋体" w:eastAsia="宋体" w:cs="宋体"/>
                <w:sz w:val="15"/>
                <w:szCs w:val="15"/>
              </w:rPr>
              <w:t>铝导杆（3</w:t>
            </w:r>
            <w:r>
              <w:rPr>
                <w:rFonts w:ascii="宋体" w:hAnsi="宋体" w:eastAsia="宋体" w:cs="宋体"/>
                <w:sz w:val="15"/>
                <w:szCs w:val="15"/>
              </w:rPr>
              <w:t>000</w:t>
            </w:r>
            <w:r>
              <w:rPr>
                <w:rFonts w:hint="eastAsia" w:ascii="宋体" w:hAnsi="宋体" w:eastAsia="宋体" w:cs="宋体"/>
                <w:sz w:val="15"/>
                <w:szCs w:val="15"/>
              </w:rPr>
              <w:t>根）和阳极钢爪更新（3</w:t>
            </w:r>
            <w:r>
              <w:rPr>
                <w:rFonts w:ascii="宋体" w:hAnsi="宋体" w:eastAsia="宋体" w:cs="宋体"/>
                <w:sz w:val="15"/>
                <w:szCs w:val="15"/>
              </w:rPr>
              <w:t>200</w:t>
            </w:r>
            <w:r>
              <w:rPr>
                <w:rFonts w:hint="eastAsia" w:ascii="宋体" w:hAnsi="宋体" w:eastAsia="宋体" w:cs="宋体"/>
                <w:sz w:val="15"/>
                <w:szCs w:val="15"/>
              </w:rPr>
              <w:t>组）项目</w:t>
            </w:r>
          </w:p>
        </w:tc>
        <w:tc>
          <w:tcPr>
            <w:tcW w:w="819" w:type="dxa"/>
            <w:vAlign w:val="center"/>
          </w:tcPr>
          <w:p>
            <w:pPr>
              <w:widowControl/>
              <w:spacing w:line="240" w:lineRule="exact"/>
              <w:jc w:val="center"/>
              <w:textAlignment w:val="center"/>
              <w:rPr>
                <w:rFonts w:hint="eastAsia" w:ascii="宋体" w:hAnsi="宋体" w:eastAsia="宋体" w:cs="宋体"/>
                <w:color w:val="auto"/>
                <w:sz w:val="15"/>
                <w:szCs w:val="15"/>
                <w:lang w:eastAsia="zh-CN"/>
              </w:rPr>
            </w:pPr>
            <w:r>
              <w:rPr>
                <w:rFonts w:hint="eastAsia" w:ascii="宋体" w:hAnsi="宋体" w:eastAsia="宋体" w:cs="宋体"/>
                <w:color w:val="auto"/>
                <w:sz w:val="15"/>
                <w:szCs w:val="15"/>
              </w:rPr>
              <w:t>铝导杆52.8万</w:t>
            </w:r>
            <w:r>
              <w:rPr>
                <w:rFonts w:hint="eastAsia" w:ascii="宋体" w:hAnsi="宋体" w:eastAsia="宋体" w:cs="宋体"/>
                <w:color w:val="auto"/>
                <w:sz w:val="15"/>
                <w:szCs w:val="15"/>
                <w:lang w:eastAsia="zh-CN"/>
              </w:rPr>
              <w:t>，</w:t>
            </w:r>
          </w:p>
          <w:p>
            <w:pPr>
              <w:widowControl/>
              <w:spacing w:line="240" w:lineRule="exact"/>
              <w:jc w:val="center"/>
              <w:textAlignment w:val="center"/>
              <w:rPr>
                <w:rFonts w:ascii="宋体" w:hAnsi="宋体" w:eastAsia="宋体" w:cs="宋体"/>
                <w:color w:val="auto"/>
                <w:sz w:val="15"/>
                <w:szCs w:val="15"/>
              </w:rPr>
            </w:pPr>
            <w:r>
              <w:rPr>
                <w:rFonts w:hint="eastAsia" w:ascii="宋体" w:hAnsi="宋体" w:eastAsia="宋体" w:cs="宋体"/>
                <w:color w:val="auto"/>
                <w:sz w:val="15"/>
                <w:szCs w:val="15"/>
              </w:rPr>
              <w:t>钢爪更新</w:t>
            </w:r>
            <w:r>
              <w:rPr>
                <w:rFonts w:hint="eastAsia" w:ascii="宋体" w:hAnsi="宋体" w:eastAsia="宋体" w:cs="宋体"/>
                <w:color w:val="auto"/>
                <w:sz w:val="15"/>
                <w:szCs w:val="15"/>
                <w:lang w:val="en-US" w:eastAsia="zh-CN"/>
              </w:rPr>
              <w:t>1656</w:t>
            </w:r>
            <w:r>
              <w:rPr>
                <w:rFonts w:hint="eastAsia" w:ascii="宋体" w:hAnsi="宋体" w:eastAsia="宋体" w:cs="宋体"/>
                <w:color w:val="auto"/>
                <w:sz w:val="15"/>
                <w:szCs w:val="15"/>
              </w:rPr>
              <w:t>万</w:t>
            </w:r>
          </w:p>
        </w:tc>
        <w:tc>
          <w:tcPr>
            <w:tcW w:w="640" w:type="dxa"/>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ascii="宋体" w:hAnsi="宋体" w:eastAsia="宋体" w:cs="宋体"/>
                <w:sz w:val="15"/>
                <w:szCs w:val="15"/>
              </w:rPr>
            </w:pPr>
            <w:r>
              <w:rPr>
                <w:rFonts w:hint="eastAsia" w:ascii="宋体" w:hAnsi="宋体" w:eastAsia="宋体" w:cs="宋体"/>
                <w:sz w:val="15"/>
                <w:szCs w:val="15"/>
              </w:rPr>
              <w:t>采购、更新铝导杆及阳极钢爪。</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eastAsia="zh-CN"/>
              </w:rPr>
            </w:pPr>
            <w:r>
              <w:rPr>
                <w:rFonts w:hint="eastAsia" w:ascii="宋体" w:hAnsi="宋体" w:eastAsia="宋体" w:cs="宋体"/>
                <w:sz w:val="15"/>
                <w:szCs w:val="15"/>
              </w:rPr>
              <w:t>2022</w:t>
            </w:r>
            <w:r>
              <w:rPr>
                <w:rFonts w:hint="eastAsia" w:ascii="宋体" w:hAnsi="宋体" w:eastAsia="宋体" w:cs="宋体"/>
                <w:sz w:val="15"/>
                <w:szCs w:val="15"/>
                <w:lang w:eastAsia="zh-CN"/>
              </w:rPr>
              <w:t>年</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widowControl/>
              <w:spacing w:line="240" w:lineRule="exact"/>
              <w:jc w:val="center"/>
              <w:textAlignment w:val="center"/>
              <w:rPr>
                <w:rFonts w:ascii="宋体" w:hAnsi="宋体" w:eastAsia="宋体" w:cs="宋体"/>
                <w:sz w:val="15"/>
                <w:szCs w:val="15"/>
              </w:rPr>
            </w:pPr>
            <w:r>
              <w:rPr>
                <w:rFonts w:hint="eastAsia" w:ascii="宋体" w:hAnsi="宋体" w:eastAsia="宋体" w:cs="宋体"/>
                <w:sz w:val="15"/>
                <w:szCs w:val="15"/>
              </w:rPr>
              <w:t>2023年</w:t>
            </w:r>
          </w:p>
        </w:tc>
        <w:tc>
          <w:tcPr>
            <w:tcW w:w="1729" w:type="dxa"/>
            <w:vMerge w:val="continue"/>
            <w:vAlign w:val="center"/>
          </w:tcPr>
          <w:p>
            <w:pPr>
              <w:widowControl/>
              <w:spacing w:line="240" w:lineRule="exact"/>
              <w:jc w:val="center"/>
              <w:textAlignment w:val="center"/>
              <w:rPr>
                <w:rFonts w:ascii="宋体" w:hAnsi="宋体" w:eastAsia="宋体" w:cs="宋体"/>
                <w:sz w:val="15"/>
                <w:szCs w:val="15"/>
              </w:rPr>
            </w:pPr>
          </w:p>
        </w:tc>
        <w:tc>
          <w:tcPr>
            <w:tcW w:w="1895" w:type="dxa"/>
            <w:vAlign w:val="center"/>
          </w:tcPr>
          <w:p>
            <w:pPr>
              <w:widowControl/>
              <w:spacing w:line="240" w:lineRule="exact"/>
              <w:jc w:val="left"/>
              <w:textAlignment w:val="center"/>
              <w:rPr>
                <w:rFonts w:ascii="宋体" w:hAnsi="宋体" w:eastAsia="宋体" w:cs="宋体"/>
                <w:kern w:val="0"/>
                <w:sz w:val="15"/>
                <w:szCs w:val="15"/>
              </w:rPr>
            </w:pPr>
            <w:r>
              <w:rPr>
                <w:rFonts w:hint="eastAsia" w:ascii="宋体" w:hAnsi="宋体" w:eastAsia="宋体" w:cs="宋体"/>
                <w:kern w:val="0"/>
                <w:sz w:val="15"/>
                <w:szCs w:val="15"/>
              </w:rPr>
              <w:t>按照现场测量数据，阳极铝导杆与小盒卡具之间的压降降低</w:t>
            </w:r>
            <w:r>
              <w:rPr>
                <w:rFonts w:ascii="宋体" w:hAnsi="宋体" w:eastAsia="宋体" w:cs="宋体"/>
                <w:kern w:val="0"/>
                <w:sz w:val="15"/>
                <w:szCs w:val="15"/>
              </w:rPr>
              <w:t>6</w:t>
            </w:r>
            <w:r>
              <w:rPr>
                <w:rFonts w:hint="eastAsia" w:ascii="宋体" w:hAnsi="宋体" w:eastAsia="宋体" w:cs="宋体"/>
                <w:kern w:val="0"/>
                <w:sz w:val="15"/>
                <w:szCs w:val="15"/>
              </w:rPr>
              <w:t>m</w:t>
            </w:r>
            <w:r>
              <w:rPr>
                <w:rFonts w:ascii="宋体" w:hAnsi="宋体" w:eastAsia="宋体" w:cs="宋体"/>
                <w:kern w:val="0"/>
                <w:sz w:val="15"/>
                <w:szCs w:val="15"/>
              </w:rPr>
              <w:t>V</w:t>
            </w:r>
            <w:r>
              <w:rPr>
                <w:rFonts w:hint="eastAsia" w:ascii="宋体" w:hAnsi="宋体" w:eastAsia="宋体" w:cs="宋体"/>
                <w:kern w:val="0"/>
                <w:sz w:val="15"/>
                <w:szCs w:val="15"/>
              </w:rPr>
              <w:t>。</w:t>
            </w:r>
          </w:p>
        </w:tc>
        <w:tc>
          <w:tcPr>
            <w:tcW w:w="726" w:type="dxa"/>
            <w:vAlign w:val="center"/>
          </w:tcPr>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rPr>
              <w:t>升级</w:t>
            </w:r>
          </w:p>
          <w:p>
            <w:pPr>
              <w:widowControl/>
              <w:spacing w:line="240" w:lineRule="exact"/>
              <w:jc w:val="center"/>
              <w:textAlignment w:val="center"/>
              <w:rPr>
                <w:rFonts w:ascii="宋体" w:hAnsi="宋体" w:eastAsia="宋体" w:cs="宋体"/>
                <w:kern w:val="0"/>
                <w:sz w:val="15"/>
                <w:szCs w:val="15"/>
              </w:rPr>
            </w:pPr>
            <w:r>
              <w:rPr>
                <w:rFonts w:hint="eastAsia" w:ascii="宋体" w:hAnsi="宋体" w:eastAsia="宋体" w:cs="宋体"/>
                <w:kern w:val="0"/>
                <w:sz w:val="15"/>
                <w:szCs w:val="15"/>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378" w:type="dxa"/>
            <w:vMerge w:val="continue"/>
            <w:vAlign w:val="center"/>
          </w:tcPr>
          <w:p>
            <w:pPr>
              <w:widowControl/>
              <w:spacing w:line="240" w:lineRule="exact"/>
              <w:jc w:val="center"/>
              <w:textAlignment w:val="center"/>
              <w:rPr>
                <w:rFonts w:ascii="宋体" w:hAnsi="宋体" w:eastAsia="宋体" w:cs="宋体"/>
                <w:kern w:val="0"/>
                <w:sz w:val="15"/>
                <w:szCs w:val="15"/>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vAlign w:val="center"/>
          </w:tcPr>
          <w:p>
            <w:pPr>
              <w:widowControl/>
              <w:spacing w:line="240" w:lineRule="exact"/>
              <w:jc w:val="left"/>
              <w:textAlignment w:val="center"/>
              <w:rPr>
                <w:rFonts w:ascii="宋体" w:hAnsi="宋体" w:eastAsia="宋体" w:cs="宋体"/>
                <w:sz w:val="15"/>
                <w:szCs w:val="15"/>
              </w:rPr>
            </w:pPr>
          </w:p>
        </w:tc>
        <w:tc>
          <w:tcPr>
            <w:tcW w:w="888" w:type="dxa"/>
            <w:vMerge w:val="continue"/>
            <w:vAlign w:val="center"/>
          </w:tcPr>
          <w:p>
            <w:pPr>
              <w:widowControl/>
              <w:spacing w:line="240" w:lineRule="exact"/>
              <w:jc w:val="center"/>
              <w:textAlignment w:val="center"/>
              <w:rPr>
                <w:rFonts w:ascii="宋体" w:hAnsi="宋体" w:eastAsia="宋体" w:cs="宋体"/>
                <w:sz w:val="15"/>
                <w:szCs w:val="15"/>
              </w:rPr>
            </w:pPr>
          </w:p>
        </w:tc>
        <w:tc>
          <w:tcPr>
            <w:tcW w:w="1179" w:type="dxa"/>
            <w:vAlign w:val="center"/>
          </w:tcPr>
          <w:p>
            <w:pPr>
              <w:widowControl/>
              <w:spacing w:line="240" w:lineRule="exact"/>
              <w:jc w:val="left"/>
              <w:textAlignment w:val="center"/>
              <w:rPr>
                <w:rFonts w:ascii="宋体" w:hAnsi="宋体" w:eastAsia="宋体" w:cs="宋体"/>
                <w:sz w:val="15"/>
                <w:szCs w:val="15"/>
              </w:rPr>
            </w:pPr>
            <w:r>
              <w:rPr>
                <w:rFonts w:hint="eastAsia" w:ascii="宋体" w:hAnsi="宋体" w:eastAsia="宋体" w:cs="宋体"/>
                <w:sz w:val="15"/>
                <w:szCs w:val="15"/>
              </w:rPr>
              <w:t>铝导杆（3</w:t>
            </w:r>
            <w:r>
              <w:rPr>
                <w:rFonts w:ascii="宋体" w:hAnsi="宋体" w:eastAsia="宋体" w:cs="宋体"/>
                <w:sz w:val="15"/>
                <w:szCs w:val="15"/>
              </w:rPr>
              <w:t>000</w:t>
            </w:r>
            <w:r>
              <w:rPr>
                <w:rFonts w:hint="eastAsia" w:ascii="宋体" w:hAnsi="宋体" w:eastAsia="宋体" w:cs="宋体"/>
                <w:sz w:val="15"/>
                <w:szCs w:val="15"/>
              </w:rPr>
              <w:t>根）和钢爪更新（3</w:t>
            </w:r>
            <w:r>
              <w:rPr>
                <w:rFonts w:ascii="宋体" w:hAnsi="宋体" w:eastAsia="宋体" w:cs="宋体"/>
                <w:sz w:val="15"/>
                <w:szCs w:val="15"/>
              </w:rPr>
              <w:t>000</w:t>
            </w:r>
            <w:r>
              <w:rPr>
                <w:rFonts w:hint="eastAsia" w:ascii="宋体" w:hAnsi="宋体" w:eastAsia="宋体" w:cs="宋体"/>
                <w:sz w:val="15"/>
                <w:szCs w:val="15"/>
              </w:rPr>
              <w:t>根）项目</w:t>
            </w:r>
          </w:p>
        </w:tc>
        <w:tc>
          <w:tcPr>
            <w:tcW w:w="819" w:type="dxa"/>
            <w:vAlign w:val="center"/>
          </w:tcPr>
          <w:p>
            <w:pPr>
              <w:widowControl/>
              <w:spacing w:line="240" w:lineRule="exact"/>
              <w:jc w:val="left"/>
              <w:textAlignment w:val="center"/>
              <w:rPr>
                <w:rFonts w:ascii="宋体" w:hAnsi="宋体" w:eastAsia="宋体" w:cs="宋体"/>
                <w:color w:val="auto"/>
                <w:sz w:val="15"/>
                <w:szCs w:val="15"/>
              </w:rPr>
            </w:pPr>
            <w:r>
              <w:rPr>
                <w:rFonts w:hint="eastAsia" w:ascii="宋体" w:hAnsi="宋体" w:eastAsia="宋体" w:cs="宋体"/>
                <w:color w:val="auto"/>
                <w:sz w:val="15"/>
                <w:szCs w:val="15"/>
              </w:rPr>
              <w:t>铝导杆58.8万</w:t>
            </w:r>
            <w:r>
              <w:rPr>
                <w:rFonts w:hint="eastAsia" w:ascii="宋体" w:hAnsi="宋体" w:eastAsia="宋体" w:cs="宋体"/>
                <w:color w:val="auto"/>
                <w:sz w:val="15"/>
                <w:szCs w:val="15"/>
                <w:lang w:eastAsia="zh-CN"/>
              </w:rPr>
              <w:t>，</w:t>
            </w:r>
            <w:r>
              <w:rPr>
                <w:rFonts w:hint="eastAsia" w:ascii="宋体" w:hAnsi="宋体" w:eastAsia="宋体" w:cs="宋体"/>
                <w:color w:val="auto"/>
                <w:sz w:val="15"/>
                <w:szCs w:val="15"/>
              </w:rPr>
              <w:t>钢爪更</w:t>
            </w:r>
            <w:r>
              <w:rPr>
                <w:rFonts w:hint="eastAsia" w:ascii="宋体" w:hAnsi="宋体" w:eastAsia="宋体" w:cs="宋体"/>
                <w:color w:val="auto"/>
                <w:sz w:val="15"/>
                <w:szCs w:val="15"/>
                <w:lang w:eastAsia="zh-CN"/>
              </w:rPr>
              <w:t>新</w:t>
            </w:r>
            <w:r>
              <w:rPr>
                <w:rFonts w:hint="eastAsia" w:ascii="宋体" w:hAnsi="宋体" w:eastAsia="宋体" w:cs="宋体"/>
                <w:color w:val="auto"/>
                <w:sz w:val="15"/>
                <w:szCs w:val="15"/>
              </w:rPr>
              <w:t>993.5万</w:t>
            </w:r>
          </w:p>
        </w:tc>
        <w:tc>
          <w:tcPr>
            <w:tcW w:w="640" w:type="dxa"/>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ascii="宋体" w:hAnsi="宋体" w:eastAsia="宋体" w:cs="宋体"/>
                <w:sz w:val="15"/>
                <w:szCs w:val="15"/>
              </w:rPr>
            </w:pPr>
            <w:r>
              <w:rPr>
                <w:rFonts w:hint="eastAsia" w:ascii="宋体" w:hAnsi="宋体" w:eastAsia="宋体" w:cs="宋体"/>
                <w:sz w:val="15"/>
                <w:szCs w:val="15"/>
              </w:rPr>
              <w:t>采购、更新铝导杆及阳极钢爪。</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eastAsia="zh-CN"/>
              </w:rPr>
            </w:pPr>
            <w:r>
              <w:rPr>
                <w:rFonts w:hint="eastAsia" w:ascii="宋体" w:hAnsi="宋体" w:eastAsia="宋体" w:cs="宋体"/>
                <w:sz w:val="15"/>
                <w:szCs w:val="15"/>
              </w:rPr>
              <w:t>2023</w:t>
            </w:r>
            <w:r>
              <w:rPr>
                <w:rFonts w:hint="eastAsia" w:ascii="宋体" w:hAnsi="宋体" w:eastAsia="宋体" w:cs="宋体"/>
                <w:sz w:val="15"/>
                <w:szCs w:val="15"/>
                <w:lang w:eastAsia="zh-CN"/>
              </w:rPr>
              <w:t>年</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widowControl/>
              <w:spacing w:line="240" w:lineRule="exact"/>
              <w:jc w:val="center"/>
              <w:textAlignment w:val="center"/>
              <w:rPr>
                <w:rFonts w:ascii="宋体" w:hAnsi="宋体" w:eastAsia="宋体" w:cs="宋体"/>
                <w:sz w:val="15"/>
                <w:szCs w:val="15"/>
              </w:rPr>
            </w:pPr>
            <w:r>
              <w:rPr>
                <w:rFonts w:hint="eastAsia" w:ascii="宋体" w:hAnsi="宋体" w:eastAsia="宋体" w:cs="宋体"/>
                <w:sz w:val="15"/>
                <w:szCs w:val="15"/>
              </w:rPr>
              <w:t>2024年</w:t>
            </w:r>
          </w:p>
        </w:tc>
        <w:tc>
          <w:tcPr>
            <w:tcW w:w="1729" w:type="dxa"/>
            <w:vMerge w:val="continue"/>
            <w:vAlign w:val="center"/>
          </w:tcPr>
          <w:p>
            <w:pPr>
              <w:widowControl/>
              <w:spacing w:line="240" w:lineRule="exact"/>
              <w:jc w:val="center"/>
              <w:textAlignment w:val="center"/>
              <w:rPr>
                <w:rFonts w:ascii="宋体" w:hAnsi="宋体" w:eastAsia="宋体" w:cs="宋体"/>
                <w:sz w:val="15"/>
                <w:szCs w:val="15"/>
              </w:rPr>
            </w:pPr>
          </w:p>
        </w:tc>
        <w:tc>
          <w:tcPr>
            <w:tcW w:w="1895" w:type="dxa"/>
            <w:vAlign w:val="center"/>
          </w:tcPr>
          <w:p>
            <w:pPr>
              <w:widowControl/>
              <w:spacing w:line="240" w:lineRule="exact"/>
              <w:jc w:val="left"/>
              <w:textAlignment w:val="center"/>
              <w:rPr>
                <w:rFonts w:ascii="宋体" w:hAnsi="宋体" w:eastAsia="宋体" w:cs="宋体"/>
                <w:kern w:val="0"/>
                <w:sz w:val="15"/>
                <w:szCs w:val="15"/>
              </w:rPr>
            </w:pPr>
            <w:r>
              <w:rPr>
                <w:rFonts w:hint="eastAsia" w:ascii="宋体" w:hAnsi="宋体" w:eastAsia="宋体" w:cs="宋体"/>
                <w:kern w:val="0"/>
                <w:sz w:val="15"/>
                <w:szCs w:val="15"/>
              </w:rPr>
              <w:t>按照现场测量数据，阳极铝导杆与小盒卡具之间的压降降低6mv，铁碳压降降低5</w:t>
            </w:r>
            <w:r>
              <w:rPr>
                <w:rFonts w:ascii="宋体" w:hAnsi="宋体" w:eastAsia="宋体" w:cs="宋体"/>
                <w:kern w:val="0"/>
                <w:sz w:val="15"/>
                <w:szCs w:val="15"/>
              </w:rPr>
              <w:t>mV</w:t>
            </w:r>
            <w:r>
              <w:rPr>
                <w:rFonts w:hint="eastAsia" w:ascii="宋体" w:hAnsi="宋体" w:eastAsia="宋体" w:cs="宋体"/>
                <w:kern w:val="0"/>
                <w:sz w:val="15"/>
                <w:szCs w:val="15"/>
              </w:rPr>
              <w:t>。</w:t>
            </w:r>
          </w:p>
        </w:tc>
        <w:tc>
          <w:tcPr>
            <w:tcW w:w="726" w:type="dxa"/>
            <w:vAlign w:val="center"/>
          </w:tcPr>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rPr>
              <w:t>升级</w:t>
            </w:r>
          </w:p>
          <w:p>
            <w:pPr>
              <w:widowControl/>
              <w:spacing w:line="240" w:lineRule="exact"/>
              <w:jc w:val="center"/>
              <w:textAlignment w:val="center"/>
              <w:rPr>
                <w:rFonts w:ascii="宋体" w:hAnsi="宋体" w:eastAsia="宋体" w:cs="宋体"/>
                <w:kern w:val="0"/>
                <w:sz w:val="15"/>
                <w:szCs w:val="15"/>
              </w:rPr>
            </w:pPr>
            <w:r>
              <w:rPr>
                <w:rFonts w:hint="eastAsia" w:ascii="宋体" w:hAnsi="宋体" w:eastAsia="宋体" w:cs="宋体"/>
                <w:kern w:val="0"/>
                <w:sz w:val="15"/>
                <w:szCs w:val="15"/>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378" w:type="dxa"/>
            <w:vMerge w:val="continue"/>
            <w:vAlign w:val="center"/>
          </w:tcPr>
          <w:p>
            <w:pPr>
              <w:widowControl/>
              <w:spacing w:line="240" w:lineRule="exact"/>
              <w:jc w:val="center"/>
              <w:textAlignment w:val="center"/>
              <w:rPr>
                <w:rFonts w:ascii="宋体" w:hAnsi="宋体" w:eastAsia="宋体" w:cs="宋体"/>
                <w:kern w:val="0"/>
                <w:sz w:val="15"/>
                <w:szCs w:val="15"/>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vAlign w:val="center"/>
          </w:tcPr>
          <w:p>
            <w:pPr>
              <w:widowControl/>
              <w:spacing w:line="240" w:lineRule="exact"/>
              <w:jc w:val="left"/>
              <w:textAlignment w:val="center"/>
              <w:rPr>
                <w:rFonts w:ascii="宋体" w:hAnsi="宋体" w:eastAsia="宋体" w:cs="宋体"/>
                <w:sz w:val="15"/>
                <w:szCs w:val="15"/>
              </w:rPr>
            </w:pPr>
          </w:p>
        </w:tc>
        <w:tc>
          <w:tcPr>
            <w:tcW w:w="888" w:type="dxa"/>
            <w:vMerge w:val="continue"/>
            <w:vAlign w:val="center"/>
          </w:tcPr>
          <w:p>
            <w:pPr>
              <w:widowControl/>
              <w:spacing w:line="240" w:lineRule="exact"/>
              <w:jc w:val="center"/>
              <w:textAlignment w:val="center"/>
              <w:rPr>
                <w:rFonts w:ascii="宋体" w:hAnsi="宋体" w:eastAsia="宋体" w:cs="宋体"/>
                <w:sz w:val="15"/>
                <w:szCs w:val="15"/>
              </w:rPr>
            </w:pPr>
          </w:p>
        </w:tc>
        <w:tc>
          <w:tcPr>
            <w:tcW w:w="1179" w:type="dxa"/>
            <w:vAlign w:val="center"/>
          </w:tcPr>
          <w:p>
            <w:pPr>
              <w:widowControl/>
              <w:spacing w:line="240" w:lineRule="exact"/>
              <w:jc w:val="left"/>
              <w:textAlignment w:val="center"/>
              <w:rPr>
                <w:rFonts w:ascii="宋体" w:hAnsi="宋体" w:eastAsia="宋体" w:cs="宋体"/>
                <w:sz w:val="15"/>
                <w:szCs w:val="15"/>
              </w:rPr>
            </w:pPr>
            <w:r>
              <w:rPr>
                <w:rFonts w:hint="eastAsia" w:ascii="宋体" w:hAnsi="宋体" w:eastAsia="宋体" w:cs="宋体"/>
                <w:sz w:val="15"/>
                <w:szCs w:val="15"/>
              </w:rPr>
              <w:t>变压器、整流柜节能改造</w:t>
            </w:r>
          </w:p>
        </w:tc>
        <w:tc>
          <w:tcPr>
            <w:tcW w:w="819" w:type="dxa"/>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宋体"/>
                <w:sz w:val="15"/>
                <w:szCs w:val="15"/>
              </w:rPr>
              <w:t>11000</w:t>
            </w:r>
          </w:p>
        </w:tc>
        <w:tc>
          <w:tcPr>
            <w:tcW w:w="640" w:type="dxa"/>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ascii="宋体" w:hAnsi="宋体" w:eastAsia="宋体" w:cs="宋体"/>
                <w:sz w:val="15"/>
                <w:szCs w:val="15"/>
              </w:rPr>
            </w:pPr>
            <w:r>
              <w:rPr>
                <w:rFonts w:hint="eastAsia" w:ascii="宋体" w:hAnsi="宋体" w:eastAsia="宋体" w:cs="宋体"/>
                <w:sz w:val="15"/>
                <w:szCs w:val="15"/>
              </w:rPr>
              <w:t>对现有一、二期整流变压器、二期整流柜节能改造，降低能耗。</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2023年</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2024年</w:t>
            </w:r>
          </w:p>
        </w:tc>
        <w:tc>
          <w:tcPr>
            <w:tcW w:w="1729" w:type="dxa"/>
            <w:vMerge w:val="continue"/>
            <w:vAlign w:val="center"/>
          </w:tcPr>
          <w:p>
            <w:pPr>
              <w:widowControl/>
              <w:spacing w:line="240" w:lineRule="exact"/>
              <w:jc w:val="center"/>
              <w:textAlignment w:val="center"/>
              <w:rPr>
                <w:rFonts w:ascii="宋体" w:hAnsi="宋体" w:eastAsia="宋体" w:cs="宋体"/>
                <w:sz w:val="15"/>
                <w:szCs w:val="15"/>
              </w:rPr>
            </w:pPr>
          </w:p>
        </w:tc>
        <w:tc>
          <w:tcPr>
            <w:tcW w:w="1895" w:type="dxa"/>
            <w:vAlign w:val="center"/>
          </w:tcPr>
          <w:p>
            <w:pPr>
              <w:widowControl/>
              <w:spacing w:line="240" w:lineRule="exact"/>
              <w:jc w:val="left"/>
              <w:textAlignment w:val="center"/>
              <w:rPr>
                <w:rFonts w:ascii="宋体" w:hAnsi="宋体" w:eastAsia="宋体" w:cs="宋体"/>
                <w:kern w:val="0"/>
                <w:sz w:val="15"/>
                <w:szCs w:val="15"/>
              </w:rPr>
            </w:pPr>
            <w:r>
              <w:rPr>
                <w:rFonts w:hint="eastAsia" w:ascii="宋体" w:hAnsi="宋体" w:eastAsia="宋体" w:cs="黑体"/>
                <w:color w:val="000000"/>
                <w:kern w:val="0"/>
                <w:sz w:val="15"/>
                <w:szCs w:val="15"/>
                <w:lang w:val="en-US" w:eastAsia="zh-CN" w:bidi="ar"/>
              </w:rPr>
              <w:t>铝液综合电耗较实施前降低35（kWh/t）</w:t>
            </w:r>
          </w:p>
        </w:tc>
        <w:tc>
          <w:tcPr>
            <w:tcW w:w="726" w:type="dxa"/>
            <w:vAlign w:val="center"/>
          </w:tcPr>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rPr>
              <w:t>升级</w:t>
            </w:r>
          </w:p>
          <w:p>
            <w:pPr>
              <w:widowControl/>
              <w:spacing w:line="240" w:lineRule="exact"/>
              <w:jc w:val="center"/>
              <w:textAlignment w:val="center"/>
              <w:rPr>
                <w:rFonts w:ascii="宋体" w:hAnsi="宋体" w:eastAsia="宋体" w:cs="宋体"/>
                <w:kern w:val="0"/>
                <w:sz w:val="15"/>
                <w:szCs w:val="15"/>
              </w:rPr>
            </w:pPr>
            <w:r>
              <w:rPr>
                <w:rFonts w:hint="eastAsia" w:ascii="宋体" w:hAnsi="宋体" w:eastAsia="宋体" w:cs="宋体"/>
                <w:kern w:val="0"/>
                <w:sz w:val="15"/>
                <w:szCs w:val="15"/>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378" w:type="dxa"/>
            <w:vAlign w:val="center"/>
          </w:tcPr>
          <w:p>
            <w:pPr>
              <w:widowControl/>
              <w:spacing w:line="240" w:lineRule="exact"/>
              <w:jc w:val="center"/>
              <w:textAlignment w:val="center"/>
              <w:rPr>
                <w:rFonts w:hint="eastAsia" w:ascii="宋体" w:hAnsi="宋体" w:eastAsia="宋体" w:cs="宋体"/>
                <w:kern w:val="0"/>
                <w:sz w:val="15"/>
                <w:szCs w:val="15"/>
                <w:lang w:val="en-US" w:eastAsia="zh-CN"/>
              </w:rPr>
            </w:pPr>
            <w:r>
              <w:rPr>
                <w:rFonts w:hint="eastAsia" w:ascii="宋体" w:hAnsi="宋体" w:eastAsia="宋体" w:cs="宋体"/>
                <w:kern w:val="0"/>
                <w:sz w:val="15"/>
                <w:szCs w:val="15"/>
              </w:rPr>
              <w:t>4</w:t>
            </w: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shd w:val="clear" w:color="auto" w:fill="auto"/>
            <w:vAlign w:val="center"/>
          </w:tcPr>
          <w:p>
            <w:pPr>
              <w:widowControl/>
              <w:spacing w:line="240" w:lineRule="exact"/>
              <w:jc w:val="center"/>
              <w:textAlignment w:val="center"/>
              <w:rPr>
                <w:rFonts w:hint="eastAsia" w:ascii="宋体" w:hAnsi="宋体" w:eastAsia="宋体"/>
                <w:color w:val="auto"/>
                <w:sz w:val="15"/>
                <w:szCs w:val="15"/>
              </w:rPr>
            </w:pPr>
            <w:r>
              <w:rPr>
                <w:rFonts w:hint="eastAsia" w:ascii="宋体" w:hAnsi="宋体" w:eastAsia="宋体"/>
                <w:color w:val="auto"/>
                <w:sz w:val="15"/>
                <w:szCs w:val="15"/>
              </w:rPr>
              <w:t>黄河鑫业有限公司</w:t>
            </w:r>
          </w:p>
        </w:tc>
        <w:tc>
          <w:tcPr>
            <w:tcW w:w="888" w:type="dxa"/>
            <w:shd w:val="clear" w:color="auto" w:fill="auto"/>
            <w:vAlign w:val="center"/>
          </w:tcPr>
          <w:p>
            <w:pPr>
              <w:widowControl/>
              <w:spacing w:line="240" w:lineRule="exact"/>
              <w:jc w:val="center"/>
              <w:textAlignment w:val="center"/>
              <w:rPr>
                <w:rFonts w:hint="eastAsia" w:ascii="宋体" w:hAnsi="宋体" w:eastAsia="宋体" w:cs="黑体"/>
                <w:color w:val="000000"/>
                <w:kern w:val="0"/>
                <w:sz w:val="15"/>
                <w:szCs w:val="15"/>
                <w:lang w:bidi="ar"/>
              </w:rPr>
            </w:pPr>
            <w:r>
              <w:rPr>
                <w:rFonts w:hint="eastAsia" w:ascii="宋体" w:hAnsi="宋体" w:eastAsia="宋体" w:cs="黑体"/>
                <w:color w:val="000000"/>
                <w:kern w:val="0"/>
                <w:sz w:val="15"/>
                <w:szCs w:val="15"/>
                <w:lang w:bidi="ar"/>
              </w:rPr>
              <w:t>青海省西宁市甘河工业园区</w:t>
            </w:r>
          </w:p>
        </w:tc>
        <w:tc>
          <w:tcPr>
            <w:tcW w:w="1179" w:type="dxa"/>
            <w:shd w:val="clear" w:color="auto" w:fill="auto"/>
            <w:vAlign w:val="center"/>
          </w:tcPr>
          <w:p>
            <w:pPr>
              <w:widowControl/>
              <w:spacing w:line="240" w:lineRule="exact"/>
              <w:jc w:val="left"/>
              <w:textAlignment w:val="center"/>
              <w:rPr>
                <w:rFonts w:hint="eastAsia" w:ascii="宋体" w:hAnsi="宋体" w:eastAsia="宋体" w:cs="宋体"/>
                <w:sz w:val="15"/>
                <w:szCs w:val="15"/>
              </w:rPr>
            </w:pPr>
            <w:r>
              <w:rPr>
                <w:rFonts w:hint="eastAsia" w:ascii="宋体" w:hAnsi="宋体" w:eastAsia="宋体" w:cs="宋体"/>
                <w:sz w:val="15"/>
                <w:szCs w:val="15"/>
                <w:lang w:val="en-US" w:eastAsia="zh-CN"/>
              </w:rPr>
              <w:t>电解槽应用磷生铁浇铸及石墨化技术改造</w:t>
            </w:r>
          </w:p>
        </w:tc>
        <w:tc>
          <w:tcPr>
            <w:tcW w:w="819" w:type="dxa"/>
            <w:shd w:val="clear" w:color="auto" w:fill="auto"/>
            <w:vAlign w:val="center"/>
          </w:tcPr>
          <w:p>
            <w:pPr>
              <w:widowControl/>
              <w:spacing w:line="240" w:lineRule="exact"/>
              <w:jc w:val="center"/>
              <w:textAlignment w:val="center"/>
              <w:rPr>
                <w:rFonts w:hint="eastAsia" w:ascii="宋体" w:hAnsi="宋体" w:eastAsia="宋体" w:cs="宋体"/>
                <w:sz w:val="15"/>
                <w:szCs w:val="15"/>
              </w:rPr>
            </w:pPr>
            <w:r>
              <w:rPr>
                <w:rFonts w:hint="eastAsia" w:ascii="宋体" w:hAnsi="宋体" w:eastAsia="宋体" w:cs="宋体"/>
                <w:sz w:val="15"/>
                <w:szCs w:val="15"/>
                <w:lang w:val="en-US" w:eastAsia="zh-CN"/>
              </w:rPr>
              <w:t>14931</w:t>
            </w:r>
          </w:p>
        </w:tc>
        <w:tc>
          <w:tcPr>
            <w:tcW w:w="640" w:type="dxa"/>
            <w:shd w:val="clear" w:color="auto" w:fill="auto"/>
            <w:vAlign w:val="center"/>
          </w:tcPr>
          <w:p>
            <w:pPr>
              <w:widowControl/>
              <w:spacing w:line="240" w:lineRule="exact"/>
              <w:jc w:val="center"/>
              <w:textAlignment w:val="center"/>
              <w:rPr>
                <w:rFonts w:hint="eastAsia" w:ascii="宋体" w:hAnsi="宋体" w:eastAsia="宋体" w:cs="宋体"/>
                <w:sz w:val="15"/>
                <w:szCs w:val="15"/>
              </w:rPr>
            </w:pPr>
            <w:r>
              <w:rPr>
                <w:rFonts w:hint="eastAsia" w:ascii="宋体" w:hAnsi="宋体" w:eastAsia="宋体" w:cs="宋体"/>
                <w:sz w:val="15"/>
                <w:szCs w:val="15"/>
                <w:lang w:val="en-US" w:eastAsia="zh-CN"/>
              </w:rPr>
              <w:t>自筹</w:t>
            </w:r>
          </w:p>
        </w:tc>
        <w:tc>
          <w:tcPr>
            <w:tcW w:w="3833" w:type="dxa"/>
            <w:shd w:val="clear" w:color="auto" w:fill="auto"/>
            <w:vAlign w:val="center"/>
          </w:tcPr>
          <w:p>
            <w:pPr>
              <w:widowControl/>
              <w:spacing w:line="240" w:lineRule="exact"/>
              <w:jc w:val="left"/>
              <w:textAlignment w:val="center"/>
              <w:rPr>
                <w:rFonts w:hint="eastAsia" w:ascii="宋体" w:hAnsi="宋体" w:eastAsia="宋体" w:cs="宋体"/>
                <w:sz w:val="15"/>
                <w:szCs w:val="15"/>
              </w:rPr>
            </w:pPr>
            <w:r>
              <w:rPr>
                <w:rFonts w:hint="eastAsia" w:ascii="宋体" w:hAnsi="宋体" w:eastAsia="宋体" w:cs="宋体"/>
                <w:sz w:val="15"/>
                <w:szCs w:val="15"/>
                <w:lang w:val="en-US" w:eastAsia="zh-CN"/>
              </w:rPr>
              <w:t>在电解槽大修时，采用磷生铁浇铸技术，并使用全石墨化阴极替代石墨质阴极，降低炉底压降。</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2023年1月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lang w:val="en-US" w:eastAsia="zh-CN"/>
              </w:rPr>
              <w:t>2023年12月</w:t>
            </w:r>
          </w:p>
        </w:tc>
        <w:tc>
          <w:tcPr>
            <w:tcW w:w="1729" w:type="dxa"/>
            <w:shd w:val="clear" w:color="auto" w:fill="auto"/>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宋体"/>
                <w:color w:val="000000"/>
                <w:kern w:val="0"/>
                <w:sz w:val="15"/>
                <w:szCs w:val="15"/>
              </w:rPr>
              <w:t>铝液电解交流电耗</w:t>
            </w:r>
            <w:r>
              <w:rPr>
                <w:rFonts w:ascii="宋体" w:hAnsi="宋体" w:eastAsia="宋体" w:cs="宋体"/>
                <w:sz w:val="15"/>
                <w:szCs w:val="15"/>
              </w:rPr>
              <w:t>13294.87</w:t>
            </w:r>
            <w:r>
              <w:rPr>
                <w:rFonts w:hint="eastAsia" w:ascii="宋体" w:hAnsi="宋体" w:eastAsia="宋体" w:cs="宋体"/>
                <w:color w:val="000000"/>
                <w:kern w:val="0"/>
                <w:sz w:val="15"/>
                <w:szCs w:val="15"/>
              </w:rPr>
              <w:t>(kwh/t</w:t>
            </w:r>
            <w:r>
              <w:rPr>
                <w:rFonts w:hint="eastAsia" w:ascii="宋体" w:hAnsi="宋体" w:eastAsia="宋体" w:cs="宋体"/>
                <w:color w:val="000000"/>
                <w:kern w:val="0"/>
                <w:sz w:val="15"/>
                <w:szCs w:val="15"/>
                <w:lang w:eastAsia="zh-CN"/>
              </w:rPr>
              <w:t>）</w:t>
            </w:r>
          </w:p>
          <w:p>
            <w:pPr>
              <w:widowControl/>
              <w:spacing w:line="240" w:lineRule="exact"/>
              <w:jc w:val="center"/>
              <w:textAlignment w:val="center"/>
              <w:rPr>
                <w:rFonts w:ascii="宋体" w:hAnsi="宋体" w:eastAsia="宋体" w:cs="宋体"/>
                <w:sz w:val="15"/>
                <w:szCs w:val="15"/>
              </w:rPr>
            </w:pPr>
            <w:r>
              <w:rPr>
                <w:rFonts w:hint="eastAsia" w:ascii="宋体" w:hAnsi="宋体" w:eastAsia="宋体" w:cs="宋体"/>
                <w:color w:val="000000"/>
                <w:kern w:val="0"/>
                <w:sz w:val="15"/>
                <w:szCs w:val="15"/>
              </w:rPr>
              <w:t>（ 基准水平）</w:t>
            </w:r>
          </w:p>
        </w:tc>
        <w:tc>
          <w:tcPr>
            <w:tcW w:w="1895" w:type="dxa"/>
            <w:vMerge w:val="restart"/>
            <w:shd w:val="clear" w:color="auto" w:fill="auto"/>
            <w:vAlign w:val="center"/>
          </w:tcPr>
          <w:p>
            <w:pPr>
              <w:widowControl/>
              <w:spacing w:line="240" w:lineRule="exact"/>
              <w:jc w:val="center"/>
              <w:textAlignment w:val="center"/>
              <w:rPr>
                <w:rFonts w:ascii="宋体" w:hAnsi="宋体" w:eastAsia="宋体" w:cs="宋体"/>
                <w:kern w:val="0"/>
                <w:sz w:val="15"/>
                <w:szCs w:val="15"/>
              </w:rPr>
            </w:pPr>
            <w:r>
              <w:rPr>
                <w:rFonts w:hint="eastAsia" w:ascii="宋体" w:hAnsi="宋体" w:eastAsia="宋体" w:cs="宋体"/>
                <w:color w:val="000000"/>
                <w:kern w:val="0"/>
                <w:sz w:val="15"/>
                <w:szCs w:val="15"/>
              </w:rPr>
              <w:t>铝液电解交流电耗</w:t>
            </w:r>
            <w:r>
              <w:rPr>
                <w:rFonts w:hint="eastAsia" w:ascii="宋体" w:hAnsi="宋体" w:eastAsia="宋体" w:cs="宋体"/>
                <w:kern w:val="0"/>
                <w:sz w:val="15"/>
                <w:szCs w:val="15"/>
              </w:rPr>
              <w:t>13160</w:t>
            </w:r>
            <w:r>
              <w:rPr>
                <w:rFonts w:hint="eastAsia" w:ascii="宋体" w:hAnsi="宋体" w:eastAsia="宋体" w:cs="宋体"/>
                <w:color w:val="000000"/>
                <w:kern w:val="0"/>
                <w:sz w:val="15"/>
                <w:szCs w:val="15"/>
              </w:rPr>
              <w:t>(kwh/t</w:t>
            </w:r>
            <w:r>
              <w:rPr>
                <w:rFonts w:hint="eastAsia" w:ascii="宋体" w:hAnsi="宋体" w:eastAsia="宋体" w:cs="宋体"/>
                <w:color w:val="000000"/>
                <w:kern w:val="0"/>
                <w:sz w:val="15"/>
                <w:szCs w:val="15"/>
                <w:lang w:eastAsia="zh-CN"/>
              </w:rPr>
              <w:t>）</w:t>
            </w:r>
            <w:r>
              <w:rPr>
                <w:rFonts w:hint="eastAsia" w:ascii="宋体" w:hAnsi="宋体" w:eastAsia="宋体" w:cs="宋体"/>
                <w:kern w:val="0"/>
                <w:sz w:val="15"/>
                <w:szCs w:val="15"/>
              </w:rPr>
              <w:t>（基准水平）</w:t>
            </w:r>
          </w:p>
        </w:tc>
        <w:tc>
          <w:tcPr>
            <w:tcW w:w="726" w:type="dxa"/>
            <w:shd w:val="clear" w:color="auto" w:fill="auto"/>
            <w:vAlign w:val="center"/>
          </w:tcPr>
          <w:p>
            <w:pPr>
              <w:widowControl/>
              <w:spacing w:line="240" w:lineRule="exact"/>
              <w:jc w:val="center"/>
              <w:textAlignment w:val="center"/>
              <w:rPr>
                <w:rFonts w:hint="eastAsia"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升级</w:t>
            </w:r>
          </w:p>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lang w:val="en-US" w:eastAsia="zh-CN"/>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8" w:type="dxa"/>
            <w:vMerge w:val="restart"/>
            <w:vAlign w:val="center"/>
          </w:tcPr>
          <w:p>
            <w:pPr>
              <w:widowControl/>
              <w:spacing w:line="240" w:lineRule="exact"/>
              <w:jc w:val="center"/>
              <w:textAlignment w:val="center"/>
              <w:rPr>
                <w:rFonts w:hint="eastAsia"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4</w:t>
            </w:r>
          </w:p>
        </w:tc>
        <w:tc>
          <w:tcPr>
            <w:tcW w:w="958" w:type="dxa"/>
            <w:vMerge w:val="restart"/>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宋体"/>
                <w:sz w:val="15"/>
                <w:szCs w:val="15"/>
                <w:lang w:eastAsia="zh-CN"/>
              </w:rPr>
              <w:t>电解铝</w:t>
            </w:r>
          </w:p>
        </w:tc>
        <w:tc>
          <w:tcPr>
            <w:tcW w:w="1223" w:type="dxa"/>
            <w:vMerge w:val="restart"/>
            <w:shd w:val="clear" w:color="auto" w:fill="auto"/>
            <w:vAlign w:val="center"/>
          </w:tcPr>
          <w:p>
            <w:pPr>
              <w:widowControl/>
              <w:spacing w:line="240" w:lineRule="exact"/>
              <w:jc w:val="center"/>
              <w:textAlignment w:val="center"/>
              <w:rPr>
                <w:rFonts w:hint="eastAsia" w:ascii="宋体" w:hAnsi="宋体" w:eastAsia="宋体"/>
                <w:color w:val="auto"/>
                <w:sz w:val="15"/>
                <w:szCs w:val="15"/>
              </w:rPr>
            </w:pPr>
            <w:r>
              <w:rPr>
                <w:rFonts w:hint="eastAsia" w:ascii="宋体" w:hAnsi="宋体" w:eastAsia="宋体"/>
                <w:color w:val="auto"/>
                <w:sz w:val="15"/>
                <w:szCs w:val="15"/>
              </w:rPr>
              <w:t>黄河鑫业有限公司</w:t>
            </w:r>
          </w:p>
        </w:tc>
        <w:tc>
          <w:tcPr>
            <w:tcW w:w="888" w:type="dxa"/>
            <w:vMerge w:val="restart"/>
            <w:shd w:val="clear" w:color="auto" w:fill="auto"/>
            <w:vAlign w:val="center"/>
          </w:tcPr>
          <w:p>
            <w:pPr>
              <w:widowControl/>
              <w:spacing w:line="240" w:lineRule="exact"/>
              <w:jc w:val="center"/>
              <w:textAlignment w:val="center"/>
              <w:rPr>
                <w:rFonts w:hint="eastAsia" w:ascii="宋体" w:hAnsi="宋体" w:eastAsia="宋体" w:cs="黑体"/>
                <w:color w:val="000000"/>
                <w:kern w:val="0"/>
                <w:sz w:val="15"/>
                <w:szCs w:val="15"/>
                <w:lang w:bidi="ar"/>
              </w:rPr>
            </w:pPr>
            <w:r>
              <w:rPr>
                <w:rFonts w:hint="eastAsia" w:ascii="宋体" w:hAnsi="宋体" w:eastAsia="宋体" w:cs="黑体"/>
                <w:color w:val="000000"/>
                <w:kern w:val="0"/>
                <w:sz w:val="15"/>
                <w:szCs w:val="15"/>
                <w:lang w:bidi="ar"/>
              </w:rPr>
              <w:t>青海省西宁市甘河工业园区</w:t>
            </w:r>
          </w:p>
        </w:tc>
        <w:tc>
          <w:tcPr>
            <w:tcW w:w="1179" w:type="dxa"/>
            <w:shd w:val="clear" w:color="auto" w:fill="auto"/>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预焙阳极炭块底部开槽技术改造</w:t>
            </w:r>
          </w:p>
        </w:tc>
        <w:tc>
          <w:tcPr>
            <w:tcW w:w="819" w:type="dxa"/>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824.96</w:t>
            </w:r>
          </w:p>
        </w:tc>
        <w:tc>
          <w:tcPr>
            <w:tcW w:w="640" w:type="dxa"/>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自筹</w:t>
            </w:r>
          </w:p>
        </w:tc>
        <w:tc>
          <w:tcPr>
            <w:tcW w:w="3833" w:type="dxa"/>
            <w:shd w:val="clear" w:color="auto" w:fill="auto"/>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在焙烧阳极炭块库改造安装3台（6工位）阳极底部开槽设备，增强电解槽生产过程中阳极气体排出，降低运行电耗。</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2022年4月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2023年8月</w:t>
            </w:r>
          </w:p>
        </w:tc>
        <w:tc>
          <w:tcPr>
            <w:tcW w:w="1729" w:type="dxa"/>
            <w:vMerge w:val="restart"/>
            <w:shd w:val="clear" w:color="auto" w:fill="auto"/>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宋体"/>
                <w:color w:val="000000"/>
                <w:kern w:val="0"/>
                <w:sz w:val="15"/>
                <w:szCs w:val="15"/>
              </w:rPr>
              <w:t>铝液电解交流电耗</w:t>
            </w:r>
            <w:r>
              <w:rPr>
                <w:rFonts w:ascii="宋体" w:hAnsi="宋体" w:eastAsia="宋体" w:cs="宋体"/>
                <w:sz w:val="15"/>
                <w:szCs w:val="15"/>
              </w:rPr>
              <w:t>13294.87</w:t>
            </w:r>
            <w:r>
              <w:rPr>
                <w:rFonts w:hint="eastAsia" w:ascii="宋体" w:hAnsi="宋体" w:eastAsia="宋体" w:cs="宋体"/>
                <w:color w:val="000000"/>
                <w:kern w:val="0"/>
                <w:sz w:val="15"/>
                <w:szCs w:val="15"/>
              </w:rPr>
              <w:t>(kwh/t</w:t>
            </w:r>
            <w:r>
              <w:rPr>
                <w:rFonts w:hint="eastAsia" w:ascii="宋体" w:hAnsi="宋体" w:eastAsia="宋体" w:cs="宋体"/>
                <w:color w:val="000000"/>
                <w:kern w:val="0"/>
                <w:sz w:val="15"/>
                <w:szCs w:val="15"/>
                <w:lang w:eastAsia="zh-CN"/>
              </w:rPr>
              <w:t>）</w:t>
            </w:r>
          </w:p>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color w:val="000000"/>
                <w:kern w:val="0"/>
                <w:sz w:val="15"/>
                <w:szCs w:val="15"/>
              </w:rPr>
              <w:t>（ 基准水平）</w:t>
            </w:r>
          </w:p>
        </w:tc>
        <w:tc>
          <w:tcPr>
            <w:tcW w:w="1895" w:type="dxa"/>
            <w:vMerge w:val="continue"/>
            <w:shd w:val="clear" w:color="auto" w:fill="auto"/>
            <w:vAlign w:val="center"/>
          </w:tcPr>
          <w:p>
            <w:pPr>
              <w:widowControl/>
              <w:spacing w:line="240" w:lineRule="exact"/>
              <w:jc w:val="left"/>
              <w:textAlignment w:val="center"/>
              <w:rPr>
                <w:rFonts w:ascii="宋体" w:hAnsi="宋体" w:eastAsia="宋体" w:cs="宋体"/>
                <w:kern w:val="0"/>
                <w:sz w:val="15"/>
                <w:szCs w:val="15"/>
              </w:rPr>
            </w:pPr>
          </w:p>
        </w:tc>
        <w:tc>
          <w:tcPr>
            <w:tcW w:w="726" w:type="dxa"/>
            <w:shd w:val="clear" w:color="auto" w:fill="auto"/>
            <w:vAlign w:val="center"/>
          </w:tcPr>
          <w:p>
            <w:pPr>
              <w:widowControl/>
              <w:spacing w:line="240" w:lineRule="exact"/>
              <w:jc w:val="center"/>
              <w:textAlignment w:val="center"/>
              <w:rPr>
                <w:rFonts w:hint="eastAsia"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升级</w:t>
            </w:r>
          </w:p>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lang w:val="en-US" w:eastAsia="zh-CN"/>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shd w:val="clear" w:color="auto" w:fill="auto"/>
            <w:vAlign w:val="center"/>
          </w:tcPr>
          <w:p>
            <w:pPr>
              <w:widowControl/>
              <w:spacing w:line="240" w:lineRule="exact"/>
              <w:jc w:val="left"/>
              <w:textAlignment w:val="center"/>
              <w:rPr>
                <w:rFonts w:hint="eastAsia" w:ascii="宋体" w:hAnsi="宋体" w:eastAsia="宋体"/>
                <w:color w:val="000000"/>
                <w:sz w:val="15"/>
                <w:szCs w:val="15"/>
              </w:rPr>
            </w:pPr>
          </w:p>
        </w:tc>
        <w:tc>
          <w:tcPr>
            <w:tcW w:w="888" w:type="dxa"/>
            <w:vMerge w:val="continue"/>
            <w:shd w:val="clear" w:color="auto" w:fill="auto"/>
            <w:vAlign w:val="center"/>
          </w:tcPr>
          <w:p>
            <w:pPr>
              <w:widowControl/>
              <w:spacing w:line="240" w:lineRule="exact"/>
              <w:jc w:val="center"/>
              <w:textAlignment w:val="center"/>
              <w:rPr>
                <w:rFonts w:hint="eastAsia" w:ascii="宋体" w:hAnsi="宋体" w:eastAsia="宋体" w:cs="黑体"/>
                <w:color w:val="000000"/>
                <w:kern w:val="0"/>
                <w:sz w:val="15"/>
                <w:szCs w:val="15"/>
                <w:lang w:bidi="ar"/>
              </w:rPr>
            </w:pPr>
          </w:p>
        </w:tc>
        <w:tc>
          <w:tcPr>
            <w:tcW w:w="1179" w:type="dxa"/>
            <w:shd w:val="clear" w:color="auto" w:fill="auto"/>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阳极涂层技术应用</w:t>
            </w:r>
          </w:p>
        </w:tc>
        <w:tc>
          <w:tcPr>
            <w:tcW w:w="819" w:type="dxa"/>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1500</w:t>
            </w:r>
          </w:p>
        </w:tc>
        <w:tc>
          <w:tcPr>
            <w:tcW w:w="640" w:type="dxa"/>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自筹</w:t>
            </w:r>
          </w:p>
        </w:tc>
        <w:tc>
          <w:tcPr>
            <w:tcW w:w="3833" w:type="dxa"/>
            <w:shd w:val="clear" w:color="auto" w:fill="auto"/>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在阳极上喷涂特质涂料，延长换极周期，降低电解槽电耗。</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2023年1月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2023年12月</w:t>
            </w:r>
          </w:p>
        </w:tc>
        <w:tc>
          <w:tcPr>
            <w:tcW w:w="1729" w:type="dxa"/>
            <w:vMerge w:val="continue"/>
            <w:shd w:val="clear" w:color="auto" w:fill="auto"/>
            <w:vAlign w:val="center"/>
          </w:tcPr>
          <w:p>
            <w:pPr>
              <w:widowControl/>
              <w:spacing w:line="240" w:lineRule="exact"/>
              <w:jc w:val="center"/>
              <w:textAlignment w:val="center"/>
              <w:rPr>
                <w:rFonts w:hint="eastAsia" w:ascii="宋体" w:hAnsi="宋体" w:eastAsia="宋体" w:cs="宋体"/>
                <w:color w:val="000000"/>
                <w:kern w:val="0"/>
                <w:sz w:val="15"/>
                <w:szCs w:val="15"/>
              </w:rPr>
            </w:pPr>
          </w:p>
        </w:tc>
        <w:tc>
          <w:tcPr>
            <w:tcW w:w="1895" w:type="dxa"/>
            <w:vMerge w:val="continue"/>
            <w:shd w:val="clear" w:color="auto" w:fill="auto"/>
            <w:vAlign w:val="center"/>
          </w:tcPr>
          <w:p>
            <w:pPr>
              <w:widowControl/>
              <w:spacing w:line="240" w:lineRule="exact"/>
              <w:jc w:val="left"/>
              <w:textAlignment w:val="center"/>
              <w:rPr>
                <w:rFonts w:ascii="宋体" w:hAnsi="宋体" w:eastAsia="宋体" w:cs="宋体"/>
                <w:kern w:val="0"/>
                <w:sz w:val="15"/>
                <w:szCs w:val="15"/>
              </w:rPr>
            </w:pPr>
          </w:p>
        </w:tc>
        <w:tc>
          <w:tcPr>
            <w:tcW w:w="726" w:type="dxa"/>
            <w:shd w:val="clear" w:color="auto" w:fill="auto"/>
            <w:vAlign w:val="center"/>
          </w:tcPr>
          <w:p>
            <w:pPr>
              <w:widowControl/>
              <w:spacing w:line="240" w:lineRule="exact"/>
              <w:jc w:val="center"/>
              <w:textAlignment w:val="center"/>
              <w:rPr>
                <w:rFonts w:hint="eastAsia"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新材料</w:t>
            </w:r>
          </w:p>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lang w:val="en-US" w:eastAsia="zh-CN"/>
              </w:rPr>
              <w:t>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shd w:val="clear" w:color="auto" w:fill="auto"/>
            <w:vAlign w:val="center"/>
          </w:tcPr>
          <w:p>
            <w:pPr>
              <w:widowControl/>
              <w:spacing w:line="240" w:lineRule="exact"/>
              <w:jc w:val="left"/>
              <w:textAlignment w:val="center"/>
              <w:rPr>
                <w:rFonts w:hint="eastAsia" w:ascii="宋体" w:hAnsi="宋体" w:eastAsia="宋体"/>
                <w:color w:val="000000"/>
                <w:sz w:val="15"/>
                <w:szCs w:val="15"/>
              </w:rPr>
            </w:pPr>
          </w:p>
        </w:tc>
        <w:tc>
          <w:tcPr>
            <w:tcW w:w="888" w:type="dxa"/>
            <w:vMerge w:val="continue"/>
            <w:shd w:val="clear" w:color="auto" w:fill="auto"/>
            <w:vAlign w:val="center"/>
          </w:tcPr>
          <w:p>
            <w:pPr>
              <w:widowControl/>
              <w:spacing w:line="240" w:lineRule="exact"/>
              <w:jc w:val="center"/>
              <w:textAlignment w:val="center"/>
              <w:rPr>
                <w:rFonts w:hint="eastAsia" w:ascii="宋体" w:hAnsi="宋体" w:eastAsia="宋体" w:cs="黑体"/>
                <w:color w:val="000000"/>
                <w:kern w:val="0"/>
                <w:sz w:val="15"/>
                <w:szCs w:val="15"/>
                <w:lang w:bidi="ar"/>
              </w:rPr>
            </w:pPr>
          </w:p>
        </w:tc>
        <w:tc>
          <w:tcPr>
            <w:tcW w:w="1179" w:type="dxa"/>
            <w:shd w:val="clear" w:color="auto" w:fill="auto"/>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阳极钢爪自动焊接系统研制与应用</w:t>
            </w:r>
          </w:p>
        </w:tc>
        <w:tc>
          <w:tcPr>
            <w:tcW w:w="819" w:type="dxa"/>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482</w:t>
            </w:r>
          </w:p>
        </w:tc>
        <w:tc>
          <w:tcPr>
            <w:tcW w:w="640" w:type="dxa"/>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自筹</w:t>
            </w:r>
          </w:p>
        </w:tc>
        <w:tc>
          <w:tcPr>
            <w:tcW w:w="3833" w:type="dxa"/>
            <w:shd w:val="clear" w:color="auto" w:fill="auto"/>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采用机器人焊接替代传统人工焊接钢爪组，降低导杆组压降。</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2022年1月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2023年8月</w:t>
            </w:r>
          </w:p>
        </w:tc>
        <w:tc>
          <w:tcPr>
            <w:tcW w:w="1729" w:type="dxa"/>
            <w:vMerge w:val="continue"/>
            <w:shd w:val="clear" w:color="auto" w:fill="auto"/>
            <w:vAlign w:val="center"/>
          </w:tcPr>
          <w:p>
            <w:pPr>
              <w:widowControl/>
              <w:spacing w:line="240" w:lineRule="exact"/>
              <w:jc w:val="center"/>
              <w:textAlignment w:val="center"/>
              <w:rPr>
                <w:rFonts w:hint="eastAsia" w:ascii="宋体" w:hAnsi="宋体" w:eastAsia="宋体" w:cs="宋体"/>
                <w:color w:val="000000"/>
                <w:kern w:val="0"/>
                <w:sz w:val="15"/>
                <w:szCs w:val="15"/>
              </w:rPr>
            </w:pPr>
          </w:p>
        </w:tc>
        <w:tc>
          <w:tcPr>
            <w:tcW w:w="1895" w:type="dxa"/>
            <w:vMerge w:val="continue"/>
            <w:shd w:val="clear" w:color="auto" w:fill="auto"/>
            <w:vAlign w:val="center"/>
          </w:tcPr>
          <w:p>
            <w:pPr>
              <w:widowControl/>
              <w:spacing w:line="240" w:lineRule="exact"/>
              <w:jc w:val="left"/>
              <w:textAlignment w:val="center"/>
              <w:rPr>
                <w:rFonts w:ascii="宋体" w:hAnsi="宋体" w:eastAsia="宋体" w:cs="宋体"/>
                <w:kern w:val="0"/>
                <w:sz w:val="15"/>
                <w:szCs w:val="15"/>
              </w:rPr>
            </w:pPr>
          </w:p>
        </w:tc>
        <w:tc>
          <w:tcPr>
            <w:tcW w:w="726" w:type="dxa"/>
            <w:shd w:val="clear" w:color="auto" w:fill="auto"/>
            <w:vAlign w:val="center"/>
          </w:tcPr>
          <w:p>
            <w:pPr>
              <w:widowControl/>
              <w:spacing w:line="240" w:lineRule="exact"/>
              <w:jc w:val="center"/>
              <w:textAlignment w:val="center"/>
              <w:rPr>
                <w:rFonts w:hint="eastAsia"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升级</w:t>
            </w:r>
          </w:p>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lang w:val="en-US" w:eastAsia="zh-CN"/>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shd w:val="clear" w:color="auto" w:fill="auto"/>
            <w:vAlign w:val="center"/>
          </w:tcPr>
          <w:p>
            <w:pPr>
              <w:widowControl/>
              <w:spacing w:line="240" w:lineRule="exact"/>
              <w:jc w:val="left"/>
              <w:textAlignment w:val="center"/>
              <w:rPr>
                <w:rFonts w:hint="eastAsia" w:ascii="宋体" w:hAnsi="宋体" w:eastAsia="宋体"/>
                <w:color w:val="000000"/>
                <w:sz w:val="15"/>
                <w:szCs w:val="15"/>
              </w:rPr>
            </w:pPr>
          </w:p>
        </w:tc>
        <w:tc>
          <w:tcPr>
            <w:tcW w:w="888" w:type="dxa"/>
            <w:vMerge w:val="continue"/>
            <w:shd w:val="clear" w:color="auto" w:fill="auto"/>
            <w:vAlign w:val="center"/>
          </w:tcPr>
          <w:p>
            <w:pPr>
              <w:widowControl/>
              <w:spacing w:line="240" w:lineRule="exact"/>
              <w:jc w:val="center"/>
              <w:textAlignment w:val="center"/>
              <w:rPr>
                <w:rFonts w:hint="eastAsia" w:ascii="宋体" w:hAnsi="宋体" w:eastAsia="宋体" w:cs="黑体"/>
                <w:color w:val="000000"/>
                <w:kern w:val="0"/>
                <w:sz w:val="15"/>
                <w:szCs w:val="15"/>
                <w:lang w:bidi="ar"/>
              </w:rPr>
            </w:pPr>
          </w:p>
        </w:tc>
        <w:tc>
          <w:tcPr>
            <w:tcW w:w="1179" w:type="dxa"/>
            <w:shd w:val="clear" w:color="auto" w:fill="auto"/>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铝导杆机器人激光清洗机</w:t>
            </w:r>
          </w:p>
        </w:tc>
        <w:tc>
          <w:tcPr>
            <w:tcW w:w="819" w:type="dxa"/>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197</w:t>
            </w:r>
          </w:p>
        </w:tc>
        <w:tc>
          <w:tcPr>
            <w:tcW w:w="640" w:type="dxa"/>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自筹</w:t>
            </w:r>
          </w:p>
        </w:tc>
        <w:tc>
          <w:tcPr>
            <w:tcW w:w="3833" w:type="dxa"/>
            <w:shd w:val="clear" w:color="auto" w:fill="auto"/>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在组装悬链生产线上安装2台导杆激光清洗机器人，对阳极导杆与电解槽水平母线接触部位进行清洗。</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2022年1月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2023年9月</w:t>
            </w:r>
          </w:p>
        </w:tc>
        <w:tc>
          <w:tcPr>
            <w:tcW w:w="1729" w:type="dxa"/>
            <w:vMerge w:val="continue"/>
            <w:shd w:val="clear" w:color="auto" w:fill="auto"/>
            <w:vAlign w:val="center"/>
          </w:tcPr>
          <w:p>
            <w:pPr>
              <w:widowControl/>
              <w:spacing w:line="240" w:lineRule="exact"/>
              <w:jc w:val="center"/>
              <w:textAlignment w:val="center"/>
              <w:rPr>
                <w:rFonts w:hint="eastAsia" w:ascii="宋体" w:hAnsi="宋体" w:eastAsia="宋体" w:cs="宋体"/>
                <w:color w:val="000000"/>
                <w:kern w:val="0"/>
                <w:sz w:val="15"/>
                <w:szCs w:val="15"/>
              </w:rPr>
            </w:pPr>
          </w:p>
        </w:tc>
        <w:tc>
          <w:tcPr>
            <w:tcW w:w="1895" w:type="dxa"/>
            <w:vMerge w:val="continue"/>
            <w:shd w:val="clear" w:color="auto" w:fill="auto"/>
            <w:vAlign w:val="center"/>
          </w:tcPr>
          <w:p>
            <w:pPr>
              <w:widowControl/>
              <w:spacing w:line="240" w:lineRule="exact"/>
              <w:jc w:val="left"/>
              <w:textAlignment w:val="center"/>
              <w:rPr>
                <w:rFonts w:ascii="宋体" w:hAnsi="宋体" w:eastAsia="宋体" w:cs="宋体"/>
                <w:kern w:val="0"/>
                <w:sz w:val="15"/>
                <w:szCs w:val="15"/>
              </w:rPr>
            </w:pPr>
          </w:p>
        </w:tc>
        <w:tc>
          <w:tcPr>
            <w:tcW w:w="726" w:type="dxa"/>
            <w:shd w:val="clear" w:color="auto" w:fill="auto"/>
            <w:vAlign w:val="center"/>
          </w:tcPr>
          <w:p>
            <w:pPr>
              <w:widowControl/>
              <w:spacing w:line="240" w:lineRule="exact"/>
              <w:jc w:val="center"/>
              <w:textAlignment w:val="center"/>
              <w:rPr>
                <w:rFonts w:hint="eastAsia"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升级</w:t>
            </w:r>
          </w:p>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lang w:val="en-US" w:eastAsia="zh-CN"/>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shd w:val="clear" w:color="auto" w:fill="auto"/>
            <w:vAlign w:val="center"/>
          </w:tcPr>
          <w:p>
            <w:pPr>
              <w:widowControl/>
              <w:spacing w:line="240" w:lineRule="exact"/>
              <w:jc w:val="left"/>
              <w:textAlignment w:val="center"/>
              <w:rPr>
                <w:rFonts w:hint="eastAsia" w:ascii="宋体" w:hAnsi="宋体" w:eastAsia="宋体"/>
                <w:color w:val="000000"/>
                <w:sz w:val="15"/>
                <w:szCs w:val="15"/>
              </w:rPr>
            </w:pPr>
          </w:p>
        </w:tc>
        <w:tc>
          <w:tcPr>
            <w:tcW w:w="888" w:type="dxa"/>
            <w:vMerge w:val="continue"/>
            <w:shd w:val="clear" w:color="auto" w:fill="auto"/>
            <w:vAlign w:val="center"/>
          </w:tcPr>
          <w:p>
            <w:pPr>
              <w:widowControl/>
              <w:spacing w:line="240" w:lineRule="exact"/>
              <w:jc w:val="center"/>
              <w:textAlignment w:val="center"/>
              <w:rPr>
                <w:rFonts w:hint="eastAsia" w:ascii="宋体" w:hAnsi="宋体" w:eastAsia="宋体" w:cs="黑体"/>
                <w:color w:val="000000"/>
                <w:kern w:val="0"/>
                <w:sz w:val="15"/>
                <w:szCs w:val="15"/>
                <w:lang w:bidi="ar"/>
              </w:rPr>
            </w:pPr>
          </w:p>
        </w:tc>
        <w:tc>
          <w:tcPr>
            <w:tcW w:w="1179" w:type="dxa"/>
            <w:shd w:val="clear" w:color="auto" w:fill="auto"/>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电解一系列整流机组稳流系统升级改造</w:t>
            </w:r>
          </w:p>
        </w:tc>
        <w:tc>
          <w:tcPr>
            <w:tcW w:w="819" w:type="dxa"/>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98.45</w:t>
            </w:r>
          </w:p>
        </w:tc>
        <w:tc>
          <w:tcPr>
            <w:tcW w:w="640" w:type="dxa"/>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自筹</w:t>
            </w:r>
          </w:p>
        </w:tc>
        <w:tc>
          <w:tcPr>
            <w:tcW w:w="3833" w:type="dxa"/>
            <w:shd w:val="clear" w:color="auto" w:fill="auto"/>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通过实施电解一系列整流机组稳流系统升级改造，提升一系列稳流控制精度，满足电解车间正常生产需求。</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2023年1月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2023年10月</w:t>
            </w:r>
          </w:p>
        </w:tc>
        <w:tc>
          <w:tcPr>
            <w:tcW w:w="1729" w:type="dxa"/>
            <w:vMerge w:val="continue"/>
            <w:shd w:val="clear" w:color="auto" w:fill="auto"/>
            <w:vAlign w:val="center"/>
          </w:tcPr>
          <w:p>
            <w:pPr>
              <w:widowControl/>
              <w:spacing w:line="240" w:lineRule="exact"/>
              <w:jc w:val="center"/>
              <w:textAlignment w:val="center"/>
              <w:rPr>
                <w:rFonts w:hint="eastAsia" w:ascii="宋体" w:hAnsi="宋体" w:eastAsia="宋体" w:cs="宋体"/>
                <w:color w:val="000000"/>
                <w:kern w:val="0"/>
                <w:sz w:val="15"/>
                <w:szCs w:val="15"/>
              </w:rPr>
            </w:pPr>
          </w:p>
        </w:tc>
        <w:tc>
          <w:tcPr>
            <w:tcW w:w="1895" w:type="dxa"/>
            <w:vMerge w:val="continue"/>
            <w:shd w:val="clear" w:color="auto" w:fill="auto"/>
            <w:vAlign w:val="center"/>
          </w:tcPr>
          <w:p>
            <w:pPr>
              <w:widowControl/>
              <w:spacing w:line="240" w:lineRule="exact"/>
              <w:jc w:val="left"/>
              <w:textAlignment w:val="center"/>
              <w:rPr>
                <w:rFonts w:ascii="宋体" w:hAnsi="宋体" w:eastAsia="宋体" w:cs="宋体"/>
                <w:kern w:val="0"/>
                <w:sz w:val="15"/>
                <w:szCs w:val="15"/>
              </w:rPr>
            </w:pPr>
          </w:p>
        </w:tc>
        <w:tc>
          <w:tcPr>
            <w:tcW w:w="726" w:type="dxa"/>
            <w:shd w:val="clear" w:color="auto" w:fill="auto"/>
            <w:vAlign w:val="center"/>
          </w:tcPr>
          <w:p>
            <w:pPr>
              <w:widowControl/>
              <w:spacing w:line="240" w:lineRule="exact"/>
              <w:jc w:val="center"/>
              <w:textAlignment w:val="center"/>
              <w:rPr>
                <w:rFonts w:hint="eastAsia"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升级</w:t>
            </w:r>
          </w:p>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lang w:val="en-US" w:eastAsia="zh-CN"/>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shd w:val="clear" w:color="auto" w:fill="auto"/>
            <w:vAlign w:val="center"/>
          </w:tcPr>
          <w:p>
            <w:pPr>
              <w:widowControl/>
              <w:spacing w:line="240" w:lineRule="exact"/>
              <w:jc w:val="left"/>
              <w:textAlignment w:val="center"/>
              <w:rPr>
                <w:rFonts w:hint="eastAsia" w:ascii="宋体" w:hAnsi="宋体" w:eastAsia="宋体"/>
                <w:color w:val="000000"/>
                <w:sz w:val="15"/>
                <w:szCs w:val="15"/>
              </w:rPr>
            </w:pPr>
          </w:p>
        </w:tc>
        <w:tc>
          <w:tcPr>
            <w:tcW w:w="888" w:type="dxa"/>
            <w:vMerge w:val="continue"/>
            <w:shd w:val="clear" w:color="auto" w:fill="auto"/>
            <w:vAlign w:val="center"/>
          </w:tcPr>
          <w:p>
            <w:pPr>
              <w:widowControl/>
              <w:spacing w:line="240" w:lineRule="exact"/>
              <w:jc w:val="center"/>
              <w:textAlignment w:val="center"/>
              <w:rPr>
                <w:rFonts w:hint="eastAsia" w:ascii="宋体" w:hAnsi="宋体" w:eastAsia="宋体" w:cs="黑体"/>
                <w:color w:val="000000"/>
                <w:kern w:val="0"/>
                <w:sz w:val="15"/>
                <w:szCs w:val="15"/>
                <w:lang w:bidi="ar"/>
              </w:rPr>
            </w:pPr>
          </w:p>
        </w:tc>
        <w:tc>
          <w:tcPr>
            <w:tcW w:w="1179" w:type="dxa"/>
            <w:shd w:val="clear" w:color="auto" w:fill="auto"/>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分布式光伏发电项目</w:t>
            </w:r>
          </w:p>
        </w:tc>
        <w:tc>
          <w:tcPr>
            <w:tcW w:w="819" w:type="dxa"/>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12638</w:t>
            </w:r>
          </w:p>
        </w:tc>
        <w:tc>
          <w:tcPr>
            <w:tcW w:w="640" w:type="dxa"/>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自筹</w:t>
            </w:r>
          </w:p>
        </w:tc>
        <w:tc>
          <w:tcPr>
            <w:tcW w:w="3833" w:type="dxa"/>
            <w:shd w:val="clear" w:color="auto" w:fill="auto"/>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推动太阳能光伏产业发展， 有效利用厂内屋顶及空地闲置资源，采用分布式屋顶和地面光伏发电全部自用模式， 就地消纳，降低电费节约生产成本。</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2022年1月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2023年12月</w:t>
            </w:r>
          </w:p>
        </w:tc>
        <w:tc>
          <w:tcPr>
            <w:tcW w:w="1729" w:type="dxa"/>
            <w:vMerge w:val="continue"/>
            <w:shd w:val="clear" w:color="auto" w:fill="auto"/>
            <w:vAlign w:val="center"/>
          </w:tcPr>
          <w:p>
            <w:pPr>
              <w:widowControl/>
              <w:spacing w:line="240" w:lineRule="exact"/>
              <w:jc w:val="center"/>
              <w:textAlignment w:val="center"/>
              <w:rPr>
                <w:rFonts w:hint="eastAsia" w:ascii="宋体" w:hAnsi="宋体" w:eastAsia="宋体" w:cs="宋体"/>
                <w:color w:val="000000"/>
                <w:kern w:val="0"/>
                <w:sz w:val="15"/>
                <w:szCs w:val="15"/>
              </w:rPr>
            </w:pPr>
          </w:p>
        </w:tc>
        <w:tc>
          <w:tcPr>
            <w:tcW w:w="1895" w:type="dxa"/>
            <w:vMerge w:val="continue"/>
            <w:shd w:val="clear" w:color="auto" w:fill="auto"/>
            <w:vAlign w:val="center"/>
          </w:tcPr>
          <w:p>
            <w:pPr>
              <w:widowControl/>
              <w:spacing w:line="240" w:lineRule="exact"/>
              <w:jc w:val="left"/>
              <w:textAlignment w:val="center"/>
              <w:rPr>
                <w:rFonts w:ascii="宋体" w:hAnsi="宋体" w:eastAsia="宋体" w:cs="宋体"/>
                <w:kern w:val="0"/>
                <w:sz w:val="15"/>
                <w:szCs w:val="15"/>
              </w:rPr>
            </w:pPr>
          </w:p>
        </w:tc>
        <w:tc>
          <w:tcPr>
            <w:tcW w:w="726" w:type="dxa"/>
            <w:shd w:val="clear" w:color="auto" w:fill="auto"/>
            <w:vAlign w:val="center"/>
          </w:tcPr>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lang w:val="en-US" w:eastAsia="zh-CN"/>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shd w:val="clear" w:color="auto" w:fill="auto"/>
            <w:vAlign w:val="center"/>
          </w:tcPr>
          <w:p>
            <w:pPr>
              <w:widowControl/>
              <w:spacing w:line="240" w:lineRule="exact"/>
              <w:jc w:val="center"/>
              <w:textAlignment w:val="center"/>
              <w:rPr>
                <w:rFonts w:hint="eastAsia" w:ascii="宋体" w:hAnsi="宋体" w:eastAsia="宋体"/>
                <w:color w:val="000000"/>
                <w:sz w:val="15"/>
                <w:szCs w:val="15"/>
              </w:rPr>
            </w:pPr>
          </w:p>
        </w:tc>
        <w:tc>
          <w:tcPr>
            <w:tcW w:w="888" w:type="dxa"/>
            <w:vMerge w:val="continue"/>
            <w:shd w:val="clear" w:color="auto" w:fill="auto"/>
            <w:vAlign w:val="center"/>
          </w:tcPr>
          <w:p>
            <w:pPr>
              <w:widowControl/>
              <w:spacing w:line="240" w:lineRule="exact"/>
              <w:jc w:val="center"/>
              <w:textAlignment w:val="center"/>
              <w:rPr>
                <w:rFonts w:hint="eastAsia" w:ascii="宋体" w:hAnsi="宋体" w:eastAsia="宋体" w:cs="黑体"/>
                <w:color w:val="000000"/>
                <w:kern w:val="0"/>
                <w:sz w:val="15"/>
                <w:szCs w:val="15"/>
                <w:lang w:bidi="ar"/>
              </w:rPr>
            </w:pPr>
          </w:p>
        </w:tc>
        <w:tc>
          <w:tcPr>
            <w:tcW w:w="1179" w:type="dxa"/>
            <w:shd w:val="clear" w:color="auto" w:fill="auto"/>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电解槽应用磷生铁浇铸及石墨化技术改造</w:t>
            </w:r>
          </w:p>
        </w:tc>
        <w:tc>
          <w:tcPr>
            <w:tcW w:w="819" w:type="dxa"/>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15718</w:t>
            </w:r>
          </w:p>
        </w:tc>
        <w:tc>
          <w:tcPr>
            <w:tcW w:w="640" w:type="dxa"/>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自筹</w:t>
            </w:r>
          </w:p>
        </w:tc>
        <w:tc>
          <w:tcPr>
            <w:tcW w:w="3833" w:type="dxa"/>
            <w:shd w:val="clear" w:color="auto" w:fill="auto"/>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在电解槽大修时，采用磷生铁浇铸技术，并使用全石墨化阴极替代石墨质阴极，降低炉底压降。</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2024年1月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2024年12月</w:t>
            </w:r>
          </w:p>
        </w:tc>
        <w:tc>
          <w:tcPr>
            <w:tcW w:w="1729" w:type="dxa"/>
            <w:vMerge w:val="continue"/>
            <w:shd w:val="clear" w:color="auto" w:fill="auto"/>
            <w:vAlign w:val="center"/>
          </w:tcPr>
          <w:p>
            <w:pPr>
              <w:widowControl/>
              <w:spacing w:line="240" w:lineRule="exact"/>
              <w:jc w:val="left"/>
              <w:textAlignment w:val="center"/>
              <w:rPr>
                <w:rFonts w:hint="eastAsia" w:ascii="宋体" w:hAnsi="宋体" w:eastAsia="宋体" w:cs="宋体"/>
                <w:sz w:val="15"/>
                <w:szCs w:val="15"/>
                <w:lang w:val="en-US" w:eastAsia="zh-CN"/>
              </w:rPr>
            </w:pPr>
          </w:p>
        </w:tc>
        <w:tc>
          <w:tcPr>
            <w:tcW w:w="1895" w:type="dxa"/>
            <w:vMerge w:val="restart"/>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color w:val="000000"/>
                <w:kern w:val="0"/>
                <w:sz w:val="15"/>
                <w:szCs w:val="15"/>
              </w:rPr>
              <w:t>铝液电解交流电耗</w:t>
            </w:r>
            <w:r>
              <w:rPr>
                <w:rFonts w:hint="eastAsia" w:ascii="宋体" w:hAnsi="宋体" w:eastAsia="宋体" w:cs="宋体"/>
                <w:sz w:val="15"/>
                <w:szCs w:val="15"/>
                <w:lang w:val="en-US" w:eastAsia="zh-CN"/>
              </w:rPr>
              <w:t>13080</w:t>
            </w:r>
            <w:r>
              <w:rPr>
                <w:rFonts w:hint="eastAsia" w:ascii="宋体" w:hAnsi="宋体" w:eastAsia="宋体" w:cs="宋体"/>
                <w:color w:val="000000"/>
                <w:kern w:val="0"/>
                <w:sz w:val="15"/>
                <w:szCs w:val="15"/>
              </w:rPr>
              <w:t>(kwh/t</w:t>
            </w:r>
            <w:r>
              <w:rPr>
                <w:rFonts w:hint="eastAsia" w:ascii="宋体" w:hAnsi="宋体" w:eastAsia="宋体" w:cs="宋体"/>
                <w:color w:val="000000"/>
                <w:kern w:val="0"/>
                <w:sz w:val="15"/>
                <w:szCs w:val="15"/>
                <w:lang w:eastAsia="zh-CN"/>
              </w:rPr>
              <w:t>）</w:t>
            </w:r>
            <w:r>
              <w:rPr>
                <w:rFonts w:hint="eastAsia" w:ascii="宋体" w:hAnsi="宋体" w:eastAsia="宋体" w:cs="宋体"/>
                <w:sz w:val="15"/>
                <w:szCs w:val="15"/>
                <w:lang w:val="en-US" w:eastAsia="zh-CN"/>
              </w:rPr>
              <w:t>（基准水平）</w:t>
            </w:r>
          </w:p>
        </w:tc>
        <w:tc>
          <w:tcPr>
            <w:tcW w:w="726" w:type="dxa"/>
            <w:shd w:val="clear" w:color="auto" w:fill="auto"/>
            <w:vAlign w:val="center"/>
          </w:tcPr>
          <w:p>
            <w:pPr>
              <w:widowControl/>
              <w:spacing w:line="240" w:lineRule="exact"/>
              <w:jc w:val="center"/>
              <w:textAlignment w:val="center"/>
              <w:rPr>
                <w:rFonts w:hint="eastAsia"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升级</w:t>
            </w:r>
          </w:p>
          <w:p>
            <w:pPr>
              <w:widowControl/>
              <w:spacing w:line="240" w:lineRule="exact"/>
              <w:jc w:val="center"/>
              <w:textAlignment w:val="center"/>
              <w:rPr>
                <w:rFonts w:hint="eastAsia"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shd w:val="clear" w:color="auto" w:fill="auto"/>
            <w:vAlign w:val="center"/>
          </w:tcPr>
          <w:p>
            <w:pPr>
              <w:widowControl/>
              <w:spacing w:line="240" w:lineRule="exact"/>
              <w:jc w:val="left"/>
              <w:textAlignment w:val="center"/>
              <w:rPr>
                <w:rFonts w:hint="eastAsia" w:ascii="宋体" w:hAnsi="宋体" w:eastAsia="宋体"/>
                <w:color w:val="000000"/>
                <w:sz w:val="15"/>
                <w:szCs w:val="15"/>
              </w:rPr>
            </w:pPr>
          </w:p>
        </w:tc>
        <w:tc>
          <w:tcPr>
            <w:tcW w:w="888" w:type="dxa"/>
            <w:vMerge w:val="continue"/>
            <w:shd w:val="clear" w:color="auto" w:fill="auto"/>
            <w:vAlign w:val="center"/>
          </w:tcPr>
          <w:p>
            <w:pPr>
              <w:widowControl/>
              <w:spacing w:line="240" w:lineRule="exact"/>
              <w:jc w:val="center"/>
              <w:textAlignment w:val="center"/>
              <w:rPr>
                <w:rFonts w:hint="eastAsia" w:ascii="宋体" w:hAnsi="宋体" w:eastAsia="宋体" w:cs="黑体"/>
                <w:color w:val="000000"/>
                <w:kern w:val="0"/>
                <w:sz w:val="15"/>
                <w:szCs w:val="15"/>
                <w:lang w:bidi="ar"/>
              </w:rPr>
            </w:pPr>
          </w:p>
        </w:tc>
        <w:tc>
          <w:tcPr>
            <w:tcW w:w="1179" w:type="dxa"/>
            <w:shd w:val="clear" w:color="auto" w:fill="auto"/>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阳极涂层技术应用</w:t>
            </w:r>
          </w:p>
        </w:tc>
        <w:tc>
          <w:tcPr>
            <w:tcW w:w="819" w:type="dxa"/>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1500</w:t>
            </w:r>
          </w:p>
        </w:tc>
        <w:tc>
          <w:tcPr>
            <w:tcW w:w="640" w:type="dxa"/>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自筹</w:t>
            </w:r>
          </w:p>
        </w:tc>
        <w:tc>
          <w:tcPr>
            <w:tcW w:w="3833" w:type="dxa"/>
            <w:shd w:val="clear" w:color="auto" w:fill="auto"/>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在阳极上喷涂特质涂料，延长换极周期，降低电解槽电耗。</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2024年1月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2024年12月</w:t>
            </w:r>
          </w:p>
        </w:tc>
        <w:tc>
          <w:tcPr>
            <w:tcW w:w="1729" w:type="dxa"/>
            <w:vMerge w:val="continue"/>
            <w:shd w:val="clear" w:color="auto" w:fill="auto"/>
            <w:vAlign w:val="center"/>
          </w:tcPr>
          <w:p>
            <w:pPr>
              <w:widowControl/>
              <w:spacing w:line="240" w:lineRule="exact"/>
              <w:jc w:val="left"/>
              <w:textAlignment w:val="center"/>
              <w:rPr>
                <w:rFonts w:hint="eastAsia" w:ascii="宋体" w:hAnsi="宋体" w:eastAsia="宋体" w:cs="宋体"/>
                <w:sz w:val="15"/>
                <w:szCs w:val="15"/>
                <w:lang w:val="en-US" w:eastAsia="zh-CN"/>
              </w:rPr>
            </w:pPr>
          </w:p>
        </w:tc>
        <w:tc>
          <w:tcPr>
            <w:tcW w:w="1895" w:type="dxa"/>
            <w:vMerge w:val="continue"/>
            <w:shd w:val="clear" w:color="auto" w:fill="auto"/>
            <w:vAlign w:val="center"/>
          </w:tcPr>
          <w:p>
            <w:pPr>
              <w:widowControl/>
              <w:spacing w:line="240" w:lineRule="exact"/>
              <w:jc w:val="left"/>
              <w:textAlignment w:val="center"/>
              <w:rPr>
                <w:rFonts w:hint="eastAsia" w:ascii="宋体" w:hAnsi="宋体" w:eastAsia="宋体" w:cs="宋体"/>
                <w:sz w:val="15"/>
                <w:szCs w:val="15"/>
                <w:lang w:val="en-US" w:eastAsia="zh-CN"/>
              </w:rPr>
            </w:pPr>
          </w:p>
        </w:tc>
        <w:tc>
          <w:tcPr>
            <w:tcW w:w="726" w:type="dxa"/>
            <w:shd w:val="clear" w:color="auto" w:fill="auto"/>
            <w:vAlign w:val="center"/>
          </w:tcPr>
          <w:p>
            <w:pPr>
              <w:widowControl/>
              <w:spacing w:line="240" w:lineRule="exact"/>
              <w:jc w:val="center"/>
              <w:textAlignment w:val="center"/>
              <w:rPr>
                <w:rFonts w:hint="eastAsia"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新材料</w:t>
            </w:r>
          </w:p>
          <w:p>
            <w:pPr>
              <w:widowControl/>
              <w:spacing w:line="240" w:lineRule="exact"/>
              <w:jc w:val="center"/>
              <w:textAlignment w:val="center"/>
              <w:rPr>
                <w:rFonts w:hint="eastAsia"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lang w:val="en-US" w:eastAsia="zh-CN"/>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shd w:val="clear" w:color="auto" w:fill="auto"/>
            <w:vAlign w:val="center"/>
          </w:tcPr>
          <w:p>
            <w:pPr>
              <w:widowControl/>
              <w:spacing w:line="240" w:lineRule="exact"/>
              <w:jc w:val="left"/>
              <w:textAlignment w:val="center"/>
              <w:rPr>
                <w:rFonts w:hint="eastAsia" w:ascii="宋体" w:hAnsi="宋体" w:eastAsia="宋体"/>
                <w:color w:val="auto"/>
                <w:sz w:val="15"/>
                <w:szCs w:val="15"/>
              </w:rPr>
            </w:pPr>
          </w:p>
        </w:tc>
        <w:tc>
          <w:tcPr>
            <w:tcW w:w="888" w:type="dxa"/>
            <w:vMerge w:val="continue"/>
            <w:shd w:val="clear" w:color="auto" w:fill="auto"/>
            <w:vAlign w:val="center"/>
          </w:tcPr>
          <w:p>
            <w:pPr>
              <w:widowControl/>
              <w:spacing w:line="240" w:lineRule="exact"/>
              <w:jc w:val="center"/>
              <w:textAlignment w:val="center"/>
              <w:rPr>
                <w:rFonts w:hint="eastAsia" w:ascii="宋体" w:hAnsi="宋体" w:eastAsia="宋体" w:cs="黑体"/>
                <w:color w:val="000000"/>
                <w:kern w:val="0"/>
                <w:sz w:val="15"/>
                <w:szCs w:val="15"/>
                <w:lang w:bidi="ar"/>
              </w:rPr>
            </w:pPr>
          </w:p>
        </w:tc>
        <w:tc>
          <w:tcPr>
            <w:tcW w:w="1179" w:type="dxa"/>
            <w:shd w:val="clear" w:color="auto" w:fill="auto"/>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电解槽应用磷生铁浇铸及石墨化技术改造</w:t>
            </w:r>
          </w:p>
        </w:tc>
        <w:tc>
          <w:tcPr>
            <w:tcW w:w="819" w:type="dxa"/>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15718</w:t>
            </w:r>
          </w:p>
        </w:tc>
        <w:tc>
          <w:tcPr>
            <w:tcW w:w="640" w:type="dxa"/>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自筹</w:t>
            </w:r>
          </w:p>
        </w:tc>
        <w:tc>
          <w:tcPr>
            <w:tcW w:w="3833" w:type="dxa"/>
            <w:shd w:val="clear" w:color="auto" w:fill="auto"/>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在电解槽大修时，采用磷生铁浇铸技术，并使用全石墨化阴极替代石墨质阴极，降低炉底压降。</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2025年1月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2025年12月</w:t>
            </w:r>
          </w:p>
        </w:tc>
        <w:tc>
          <w:tcPr>
            <w:tcW w:w="1729" w:type="dxa"/>
            <w:vMerge w:val="continue"/>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p>
        </w:tc>
        <w:tc>
          <w:tcPr>
            <w:tcW w:w="1895" w:type="dxa"/>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color w:val="000000"/>
                <w:kern w:val="0"/>
                <w:sz w:val="15"/>
                <w:szCs w:val="15"/>
              </w:rPr>
              <w:t>铝液电解交流电耗</w:t>
            </w:r>
            <w:r>
              <w:rPr>
                <w:rFonts w:hint="eastAsia" w:ascii="宋体" w:hAnsi="宋体" w:eastAsia="宋体" w:cs="宋体"/>
                <w:sz w:val="15"/>
                <w:szCs w:val="15"/>
                <w:lang w:val="en-US" w:eastAsia="zh-CN"/>
              </w:rPr>
              <w:t>13000</w:t>
            </w:r>
            <w:r>
              <w:rPr>
                <w:rFonts w:hint="eastAsia" w:ascii="宋体" w:hAnsi="宋体" w:eastAsia="宋体" w:cs="宋体"/>
                <w:color w:val="000000"/>
                <w:kern w:val="0"/>
                <w:sz w:val="15"/>
                <w:szCs w:val="15"/>
              </w:rPr>
              <w:t>(kwh/t</w:t>
            </w:r>
            <w:r>
              <w:rPr>
                <w:rFonts w:hint="eastAsia" w:ascii="宋体" w:hAnsi="宋体" w:eastAsia="宋体" w:cs="宋体"/>
                <w:color w:val="000000"/>
                <w:kern w:val="0"/>
                <w:sz w:val="15"/>
                <w:szCs w:val="15"/>
                <w:lang w:eastAsia="zh-CN"/>
              </w:rPr>
              <w:t>）</w:t>
            </w:r>
            <w:r>
              <w:rPr>
                <w:rFonts w:hint="eastAsia" w:ascii="宋体" w:hAnsi="宋体" w:eastAsia="宋体" w:cs="宋体"/>
                <w:sz w:val="15"/>
                <w:szCs w:val="15"/>
                <w:lang w:val="en-US" w:eastAsia="zh-CN"/>
              </w:rPr>
              <w:t>（标杆水平）</w:t>
            </w:r>
          </w:p>
        </w:tc>
        <w:tc>
          <w:tcPr>
            <w:tcW w:w="726" w:type="dxa"/>
            <w:shd w:val="clear" w:color="auto" w:fill="auto"/>
            <w:vAlign w:val="center"/>
          </w:tcPr>
          <w:p>
            <w:pPr>
              <w:widowControl/>
              <w:spacing w:line="240" w:lineRule="exact"/>
              <w:jc w:val="center"/>
              <w:textAlignment w:val="center"/>
              <w:rPr>
                <w:rFonts w:hint="eastAsia"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升级</w:t>
            </w:r>
          </w:p>
          <w:p>
            <w:pPr>
              <w:widowControl/>
              <w:spacing w:line="240" w:lineRule="exact"/>
              <w:jc w:val="center"/>
              <w:textAlignment w:val="center"/>
              <w:rPr>
                <w:rFonts w:hint="eastAsia"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378" w:type="dxa"/>
            <w:vAlign w:val="center"/>
          </w:tcPr>
          <w:p>
            <w:pPr>
              <w:widowControl/>
              <w:spacing w:line="240" w:lineRule="exact"/>
              <w:jc w:val="center"/>
              <w:textAlignment w:val="center"/>
              <w:rPr>
                <w:rFonts w:hint="eastAsia"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4</w:t>
            </w:r>
          </w:p>
        </w:tc>
        <w:tc>
          <w:tcPr>
            <w:tcW w:w="958" w:type="dxa"/>
            <w:vMerge w:val="restart"/>
            <w:vAlign w:val="center"/>
          </w:tcPr>
          <w:p>
            <w:pPr>
              <w:widowControl/>
              <w:spacing w:line="240" w:lineRule="exact"/>
              <w:jc w:val="center"/>
              <w:textAlignment w:val="center"/>
              <w:rPr>
                <w:rFonts w:hint="eastAsia" w:ascii="宋体" w:hAnsi="宋体" w:eastAsia="宋体" w:cs="宋体"/>
                <w:sz w:val="15"/>
                <w:szCs w:val="15"/>
                <w:lang w:eastAsia="zh-CN"/>
              </w:rPr>
            </w:pPr>
            <w:r>
              <w:rPr>
                <w:rFonts w:hint="eastAsia" w:ascii="宋体" w:hAnsi="宋体" w:eastAsia="宋体" w:cs="宋体"/>
                <w:sz w:val="15"/>
                <w:szCs w:val="15"/>
                <w:lang w:eastAsia="zh-CN"/>
              </w:rPr>
              <w:t>电解铝</w:t>
            </w:r>
          </w:p>
        </w:tc>
        <w:tc>
          <w:tcPr>
            <w:tcW w:w="1223" w:type="dxa"/>
            <w:shd w:val="clear" w:color="auto" w:fill="auto"/>
            <w:vAlign w:val="center"/>
          </w:tcPr>
          <w:p>
            <w:pPr>
              <w:widowControl/>
              <w:spacing w:line="240" w:lineRule="exact"/>
              <w:jc w:val="center"/>
              <w:textAlignment w:val="center"/>
              <w:rPr>
                <w:rFonts w:hint="eastAsia" w:ascii="宋体" w:hAnsi="宋体" w:eastAsia="宋体"/>
                <w:color w:val="000000"/>
                <w:sz w:val="15"/>
                <w:szCs w:val="15"/>
              </w:rPr>
            </w:pPr>
            <w:r>
              <w:rPr>
                <w:rFonts w:hint="eastAsia" w:ascii="宋体" w:hAnsi="宋体" w:eastAsia="宋体"/>
                <w:color w:val="auto"/>
                <w:sz w:val="15"/>
                <w:szCs w:val="15"/>
              </w:rPr>
              <w:t>黄河鑫业有限公司</w:t>
            </w:r>
          </w:p>
        </w:tc>
        <w:tc>
          <w:tcPr>
            <w:tcW w:w="888" w:type="dxa"/>
            <w:shd w:val="clear" w:color="auto" w:fill="auto"/>
            <w:vAlign w:val="center"/>
          </w:tcPr>
          <w:p>
            <w:pPr>
              <w:widowControl/>
              <w:spacing w:line="240" w:lineRule="exact"/>
              <w:jc w:val="center"/>
              <w:textAlignment w:val="center"/>
              <w:rPr>
                <w:rFonts w:hint="eastAsia" w:ascii="宋体" w:hAnsi="宋体" w:eastAsia="宋体" w:cs="黑体"/>
                <w:color w:val="000000"/>
                <w:kern w:val="0"/>
                <w:sz w:val="15"/>
                <w:szCs w:val="15"/>
                <w:lang w:bidi="ar"/>
              </w:rPr>
            </w:pPr>
            <w:r>
              <w:rPr>
                <w:rFonts w:hint="eastAsia" w:ascii="宋体" w:hAnsi="宋体" w:eastAsia="宋体" w:cs="黑体"/>
                <w:color w:val="000000"/>
                <w:kern w:val="0"/>
                <w:sz w:val="15"/>
                <w:szCs w:val="15"/>
                <w:lang w:bidi="ar"/>
              </w:rPr>
              <w:t>青海省西宁市甘河工业园区</w:t>
            </w:r>
          </w:p>
        </w:tc>
        <w:tc>
          <w:tcPr>
            <w:tcW w:w="1179" w:type="dxa"/>
            <w:shd w:val="clear" w:color="auto" w:fill="auto"/>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阳极涂层技术应用</w:t>
            </w:r>
          </w:p>
        </w:tc>
        <w:tc>
          <w:tcPr>
            <w:tcW w:w="819" w:type="dxa"/>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1500</w:t>
            </w:r>
          </w:p>
        </w:tc>
        <w:tc>
          <w:tcPr>
            <w:tcW w:w="640" w:type="dxa"/>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自筹</w:t>
            </w:r>
          </w:p>
        </w:tc>
        <w:tc>
          <w:tcPr>
            <w:tcW w:w="3833" w:type="dxa"/>
            <w:shd w:val="clear" w:color="auto" w:fill="auto"/>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在阳极上喷涂特质涂料，延长换极周期，降低电解槽电耗。</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2025年1月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2025年12月</w:t>
            </w:r>
          </w:p>
        </w:tc>
        <w:tc>
          <w:tcPr>
            <w:tcW w:w="1729" w:type="dxa"/>
            <w:shd w:val="clear" w:color="auto" w:fill="auto"/>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宋体"/>
                <w:color w:val="000000"/>
                <w:kern w:val="0"/>
                <w:sz w:val="15"/>
                <w:szCs w:val="15"/>
              </w:rPr>
              <w:t>铝液电解交流电耗</w:t>
            </w:r>
            <w:r>
              <w:rPr>
                <w:rFonts w:ascii="宋体" w:hAnsi="宋体" w:eastAsia="宋体" w:cs="宋体"/>
                <w:sz w:val="15"/>
                <w:szCs w:val="15"/>
              </w:rPr>
              <w:t>13294.87</w:t>
            </w:r>
            <w:r>
              <w:rPr>
                <w:rFonts w:hint="eastAsia" w:ascii="宋体" w:hAnsi="宋体" w:eastAsia="宋体" w:cs="宋体"/>
                <w:color w:val="000000"/>
                <w:kern w:val="0"/>
                <w:sz w:val="15"/>
                <w:szCs w:val="15"/>
              </w:rPr>
              <w:t>(kwh/t</w:t>
            </w:r>
            <w:r>
              <w:rPr>
                <w:rFonts w:hint="eastAsia" w:ascii="宋体" w:hAnsi="宋体" w:eastAsia="宋体" w:cs="宋体"/>
                <w:color w:val="000000"/>
                <w:kern w:val="0"/>
                <w:sz w:val="15"/>
                <w:szCs w:val="15"/>
                <w:lang w:eastAsia="zh-CN"/>
              </w:rPr>
              <w:t>）</w:t>
            </w:r>
          </w:p>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color w:val="000000"/>
                <w:kern w:val="0"/>
                <w:sz w:val="15"/>
                <w:szCs w:val="15"/>
              </w:rPr>
              <w:t>（ 基准水平）</w:t>
            </w:r>
          </w:p>
        </w:tc>
        <w:tc>
          <w:tcPr>
            <w:tcW w:w="1895" w:type="dxa"/>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color w:val="000000"/>
                <w:kern w:val="0"/>
                <w:sz w:val="15"/>
                <w:szCs w:val="15"/>
              </w:rPr>
              <w:t>铝液电解交流电耗</w:t>
            </w:r>
            <w:r>
              <w:rPr>
                <w:rFonts w:hint="eastAsia" w:ascii="宋体" w:hAnsi="宋体" w:eastAsia="宋体" w:cs="宋体"/>
                <w:sz w:val="15"/>
                <w:szCs w:val="15"/>
                <w:lang w:val="en-US" w:eastAsia="zh-CN"/>
              </w:rPr>
              <w:t>13000</w:t>
            </w:r>
            <w:r>
              <w:rPr>
                <w:rFonts w:hint="eastAsia" w:ascii="宋体" w:hAnsi="宋体" w:eastAsia="宋体" w:cs="宋体"/>
                <w:color w:val="000000"/>
                <w:kern w:val="0"/>
                <w:sz w:val="15"/>
                <w:szCs w:val="15"/>
              </w:rPr>
              <w:t>(kwh/t</w:t>
            </w:r>
            <w:r>
              <w:rPr>
                <w:rFonts w:hint="eastAsia" w:ascii="宋体" w:hAnsi="宋体" w:eastAsia="宋体" w:cs="宋体"/>
                <w:color w:val="000000"/>
                <w:kern w:val="0"/>
                <w:sz w:val="15"/>
                <w:szCs w:val="15"/>
                <w:lang w:eastAsia="zh-CN"/>
              </w:rPr>
              <w:t>）</w:t>
            </w:r>
            <w:r>
              <w:rPr>
                <w:rFonts w:hint="eastAsia" w:ascii="宋体" w:hAnsi="宋体" w:eastAsia="宋体" w:cs="宋体"/>
                <w:sz w:val="15"/>
                <w:szCs w:val="15"/>
                <w:lang w:val="en-US" w:eastAsia="zh-CN"/>
              </w:rPr>
              <w:t>（标杆水平）</w:t>
            </w:r>
          </w:p>
        </w:tc>
        <w:tc>
          <w:tcPr>
            <w:tcW w:w="726" w:type="dxa"/>
            <w:shd w:val="clear" w:color="auto" w:fill="auto"/>
            <w:vAlign w:val="center"/>
          </w:tcPr>
          <w:p>
            <w:pPr>
              <w:widowControl/>
              <w:spacing w:line="240" w:lineRule="exact"/>
              <w:jc w:val="center"/>
              <w:textAlignment w:val="center"/>
              <w:rPr>
                <w:rFonts w:hint="eastAsia"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新材料</w:t>
            </w:r>
          </w:p>
          <w:p>
            <w:pPr>
              <w:widowControl/>
              <w:spacing w:line="240" w:lineRule="exact"/>
              <w:jc w:val="center"/>
              <w:textAlignment w:val="center"/>
              <w:rPr>
                <w:rFonts w:hint="eastAsia"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378" w:type="dxa"/>
            <w:vMerge w:val="restart"/>
            <w:vAlign w:val="center"/>
          </w:tcPr>
          <w:p>
            <w:pPr>
              <w:widowControl/>
              <w:spacing w:line="240" w:lineRule="exact"/>
              <w:jc w:val="center"/>
              <w:textAlignment w:val="center"/>
              <w:rPr>
                <w:rFonts w:ascii="宋体" w:hAnsi="宋体" w:eastAsia="宋体" w:cs="宋体"/>
                <w:kern w:val="0"/>
                <w:sz w:val="15"/>
                <w:szCs w:val="15"/>
              </w:rPr>
            </w:pPr>
            <w:r>
              <w:rPr>
                <w:rFonts w:hint="eastAsia" w:ascii="宋体" w:hAnsi="宋体" w:eastAsia="宋体" w:cs="宋体"/>
                <w:kern w:val="0"/>
                <w:sz w:val="15"/>
                <w:szCs w:val="15"/>
              </w:rPr>
              <w:t>5</w:t>
            </w: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restart"/>
            <w:shd w:val="clear" w:color="auto" w:fill="auto"/>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olor w:val="000000"/>
                <w:sz w:val="15"/>
                <w:szCs w:val="15"/>
              </w:rPr>
              <w:t>青海物产工业投资有限公司</w:t>
            </w:r>
          </w:p>
        </w:tc>
        <w:tc>
          <w:tcPr>
            <w:tcW w:w="888" w:type="dxa"/>
            <w:vMerge w:val="restart"/>
            <w:shd w:val="clear" w:color="auto" w:fill="auto"/>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olor w:val="000000"/>
                <w:sz w:val="15"/>
                <w:szCs w:val="15"/>
              </w:rPr>
              <w:t>青海省西宁市大通县</w:t>
            </w:r>
          </w:p>
        </w:tc>
        <w:tc>
          <w:tcPr>
            <w:tcW w:w="1179" w:type="dxa"/>
            <w:shd w:val="clear" w:color="auto" w:fill="auto"/>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天然气焙烧电解槽项目</w:t>
            </w:r>
          </w:p>
        </w:tc>
        <w:tc>
          <w:tcPr>
            <w:tcW w:w="819" w:type="dxa"/>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55</w:t>
            </w:r>
          </w:p>
        </w:tc>
        <w:tc>
          <w:tcPr>
            <w:tcW w:w="640" w:type="dxa"/>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自筹</w:t>
            </w:r>
          </w:p>
        </w:tc>
        <w:tc>
          <w:tcPr>
            <w:tcW w:w="3833" w:type="dxa"/>
            <w:shd w:val="clear" w:color="auto" w:fill="auto"/>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通过引用先进技术，采购了一台燃气焙烧装置，并进行了相应的燃气管线改造。将原有电解槽预热使用的电阻加热焙烧法，替换为更加节能高效的燃气焙烧法。</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2022年3月</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2022年5月</w:t>
            </w:r>
          </w:p>
        </w:tc>
        <w:tc>
          <w:tcPr>
            <w:tcW w:w="1729" w:type="dxa"/>
            <w:vMerge w:val="restart"/>
            <w:shd w:val="clear" w:color="auto" w:fill="auto"/>
            <w:vAlign w:val="center"/>
          </w:tcPr>
          <w:p>
            <w:pPr>
              <w:spacing w:line="240" w:lineRule="exact"/>
              <w:jc w:val="center"/>
              <w:textAlignment w:val="center"/>
              <w:rPr>
                <w:rFonts w:hint="eastAsia" w:ascii="宋体" w:hAnsi="宋体" w:eastAsia="宋体"/>
                <w:color w:val="000000"/>
                <w:sz w:val="15"/>
                <w:szCs w:val="15"/>
              </w:rPr>
            </w:pPr>
            <w:r>
              <w:rPr>
                <w:rFonts w:hint="eastAsia" w:ascii="宋体" w:hAnsi="宋体" w:eastAsia="宋体" w:cs="宋体"/>
                <w:color w:val="000000"/>
                <w:kern w:val="0"/>
                <w:sz w:val="15"/>
                <w:szCs w:val="15"/>
              </w:rPr>
              <w:t>铝液电解交流电耗</w:t>
            </w:r>
            <w:r>
              <w:rPr>
                <w:rFonts w:ascii="宋体" w:hAnsi="宋体" w:eastAsia="宋体"/>
                <w:color w:val="000000"/>
                <w:sz w:val="15"/>
                <w:szCs w:val="15"/>
              </w:rPr>
              <w:t>13334.81</w:t>
            </w:r>
            <w:r>
              <w:rPr>
                <w:rFonts w:hint="eastAsia" w:ascii="宋体" w:hAnsi="宋体" w:eastAsia="宋体" w:cs="宋体"/>
                <w:color w:val="000000"/>
                <w:kern w:val="0"/>
                <w:sz w:val="15"/>
                <w:szCs w:val="15"/>
              </w:rPr>
              <w:t>(kwh/t</w:t>
            </w:r>
            <w:r>
              <w:rPr>
                <w:rFonts w:hint="eastAsia" w:ascii="宋体" w:hAnsi="宋体" w:eastAsia="宋体" w:cs="宋体"/>
                <w:color w:val="000000"/>
                <w:kern w:val="0"/>
                <w:sz w:val="15"/>
                <w:szCs w:val="15"/>
                <w:lang w:eastAsia="zh-CN"/>
              </w:rPr>
              <w:t>）</w:t>
            </w:r>
            <w:r>
              <w:rPr>
                <w:rFonts w:hint="eastAsia" w:ascii="宋体" w:hAnsi="宋体" w:eastAsia="宋体"/>
                <w:color w:val="000000"/>
                <w:sz w:val="15"/>
                <w:szCs w:val="15"/>
              </w:rPr>
              <w:br w:type="textWrapping"/>
            </w:r>
            <w:r>
              <w:rPr>
                <w:rFonts w:hint="eastAsia" w:ascii="宋体" w:hAnsi="宋体" w:eastAsia="宋体"/>
                <w:color w:val="000000"/>
                <w:sz w:val="15"/>
                <w:szCs w:val="15"/>
              </w:rPr>
              <w:t>（基准水平）</w:t>
            </w:r>
          </w:p>
        </w:tc>
        <w:tc>
          <w:tcPr>
            <w:tcW w:w="1895" w:type="dxa"/>
            <w:vMerge w:val="restart"/>
            <w:shd w:val="clear" w:color="auto" w:fill="auto"/>
            <w:vAlign w:val="center"/>
          </w:tcPr>
          <w:p>
            <w:pPr>
              <w:widowControl/>
              <w:spacing w:line="240" w:lineRule="exact"/>
              <w:jc w:val="center"/>
              <w:textAlignment w:val="center"/>
              <w:rPr>
                <w:rFonts w:hint="eastAsia" w:ascii="宋体" w:hAnsi="宋体" w:eastAsia="宋体"/>
                <w:color w:val="000000"/>
                <w:sz w:val="15"/>
                <w:szCs w:val="15"/>
              </w:rPr>
            </w:pPr>
            <w:r>
              <w:rPr>
                <w:rFonts w:hint="eastAsia" w:ascii="宋体" w:hAnsi="宋体" w:eastAsia="宋体" w:cs="宋体"/>
                <w:color w:val="000000"/>
                <w:kern w:val="0"/>
                <w:sz w:val="15"/>
                <w:szCs w:val="15"/>
              </w:rPr>
              <w:t>铝液电解交流电耗</w:t>
            </w:r>
            <w:r>
              <w:rPr>
                <w:rFonts w:hint="eastAsia" w:ascii="宋体" w:hAnsi="宋体" w:eastAsia="宋体"/>
                <w:color w:val="000000"/>
                <w:sz w:val="15"/>
                <w:szCs w:val="15"/>
              </w:rPr>
              <w:t>13334</w:t>
            </w:r>
            <w:r>
              <w:rPr>
                <w:rFonts w:hint="eastAsia" w:ascii="宋体" w:hAnsi="宋体" w:eastAsia="宋体" w:cs="宋体"/>
                <w:color w:val="000000"/>
                <w:kern w:val="0"/>
                <w:sz w:val="15"/>
                <w:szCs w:val="15"/>
              </w:rPr>
              <w:t>(kwh/t</w:t>
            </w:r>
            <w:r>
              <w:rPr>
                <w:rFonts w:hint="eastAsia" w:ascii="宋体" w:hAnsi="宋体" w:eastAsia="宋体" w:cs="宋体"/>
                <w:color w:val="000000"/>
                <w:kern w:val="0"/>
                <w:sz w:val="15"/>
                <w:szCs w:val="15"/>
                <w:lang w:eastAsia="zh-CN"/>
              </w:rPr>
              <w:t>）</w:t>
            </w:r>
            <w:r>
              <w:rPr>
                <w:rFonts w:hint="eastAsia" w:ascii="宋体" w:hAnsi="宋体" w:eastAsia="宋体"/>
                <w:color w:val="000000"/>
                <w:sz w:val="15"/>
                <w:szCs w:val="15"/>
              </w:rPr>
              <w:t>（基准水平）</w:t>
            </w:r>
          </w:p>
        </w:tc>
        <w:tc>
          <w:tcPr>
            <w:tcW w:w="726" w:type="dxa"/>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color w:val="auto"/>
                <w:sz w:val="15"/>
                <w:szCs w:val="15"/>
                <w:lang w:val="en-US" w:eastAsia="zh-CN"/>
              </w:rPr>
              <w:t>新建</w:t>
            </w:r>
            <w:r>
              <w:rPr>
                <w:rFonts w:hint="eastAsia" w:ascii="宋体" w:hAnsi="宋体" w:eastAsia="宋体" w:cs="宋体"/>
                <w:color w:val="auto"/>
                <w:kern w:val="0"/>
                <w:sz w:val="15"/>
                <w:szCs w:val="15"/>
              </w:rPr>
              <w:t>（已实施）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shd w:val="clear" w:color="auto" w:fill="auto"/>
            <w:vAlign w:val="center"/>
          </w:tcPr>
          <w:p>
            <w:pPr>
              <w:widowControl/>
              <w:spacing w:line="240" w:lineRule="exact"/>
              <w:jc w:val="left"/>
              <w:textAlignment w:val="center"/>
              <w:rPr>
                <w:rFonts w:hint="eastAsia" w:ascii="宋体" w:hAnsi="宋体" w:eastAsia="宋体"/>
                <w:color w:val="000000"/>
                <w:sz w:val="15"/>
                <w:szCs w:val="15"/>
              </w:rPr>
            </w:pPr>
          </w:p>
        </w:tc>
        <w:tc>
          <w:tcPr>
            <w:tcW w:w="888" w:type="dxa"/>
            <w:vMerge w:val="continue"/>
            <w:shd w:val="clear" w:color="auto" w:fill="auto"/>
            <w:vAlign w:val="center"/>
          </w:tcPr>
          <w:p>
            <w:pPr>
              <w:widowControl/>
              <w:spacing w:line="240" w:lineRule="exact"/>
              <w:jc w:val="center"/>
              <w:textAlignment w:val="center"/>
              <w:rPr>
                <w:rFonts w:hint="eastAsia" w:ascii="宋体" w:hAnsi="宋体" w:eastAsia="宋体"/>
                <w:color w:val="000000"/>
                <w:sz w:val="15"/>
                <w:szCs w:val="15"/>
              </w:rPr>
            </w:pPr>
          </w:p>
        </w:tc>
        <w:tc>
          <w:tcPr>
            <w:tcW w:w="1179" w:type="dxa"/>
            <w:vMerge w:val="restart"/>
            <w:shd w:val="clear" w:color="auto" w:fill="auto"/>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极防氧化涂料技术的应用</w:t>
            </w:r>
          </w:p>
        </w:tc>
        <w:tc>
          <w:tcPr>
            <w:tcW w:w="819" w:type="dxa"/>
            <w:vMerge w:val="restart"/>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30</w:t>
            </w:r>
          </w:p>
        </w:tc>
        <w:tc>
          <w:tcPr>
            <w:tcW w:w="640" w:type="dxa"/>
            <w:vMerge w:val="restart"/>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自筹</w:t>
            </w:r>
          </w:p>
        </w:tc>
        <w:tc>
          <w:tcPr>
            <w:tcW w:w="3833" w:type="dxa"/>
            <w:vMerge w:val="restart"/>
            <w:shd w:val="clear" w:color="auto" w:fill="auto"/>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通过与相关厂家进行联合实验的方式，对于阳极炭块敷设涂层的方式，减缓阳极氧化，提高阳极使用周期，从而降低能源消耗，降低碳排放。</w:t>
            </w:r>
          </w:p>
        </w:tc>
        <w:tc>
          <w:tcPr>
            <w:tcW w:w="113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2022年1月</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2022年12月</w:t>
            </w:r>
          </w:p>
        </w:tc>
        <w:tc>
          <w:tcPr>
            <w:tcW w:w="1729" w:type="dxa"/>
            <w:vMerge w:val="continue"/>
            <w:shd w:val="clear" w:color="auto" w:fill="auto"/>
            <w:vAlign w:val="center"/>
          </w:tcPr>
          <w:p>
            <w:pPr>
              <w:spacing w:line="240" w:lineRule="exact"/>
              <w:jc w:val="center"/>
              <w:textAlignment w:val="center"/>
              <w:rPr>
                <w:rFonts w:hint="eastAsia" w:ascii="宋体" w:hAnsi="宋体" w:eastAsia="宋体"/>
                <w:color w:val="000000"/>
                <w:sz w:val="15"/>
                <w:szCs w:val="15"/>
              </w:rPr>
            </w:pPr>
          </w:p>
        </w:tc>
        <w:tc>
          <w:tcPr>
            <w:tcW w:w="1895" w:type="dxa"/>
            <w:vMerge w:val="continue"/>
            <w:shd w:val="clear" w:color="auto" w:fill="auto"/>
            <w:vAlign w:val="center"/>
          </w:tcPr>
          <w:p>
            <w:pPr>
              <w:widowControl/>
              <w:spacing w:line="240" w:lineRule="exact"/>
              <w:jc w:val="left"/>
              <w:textAlignment w:val="center"/>
              <w:rPr>
                <w:rFonts w:hint="eastAsia" w:ascii="宋体" w:hAnsi="宋体" w:eastAsia="宋体"/>
                <w:color w:val="000000"/>
                <w:sz w:val="15"/>
                <w:szCs w:val="15"/>
              </w:rPr>
            </w:pPr>
          </w:p>
        </w:tc>
        <w:tc>
          <w:tcPr>
            <w:tcW w:w="726" w:type="dxa"/>
            <w:shd w:val="clear" w:color="auto" w:fill="auto"/>
            <w:vAlign w:val="center"/>
          </w:tcPr>
          <w:p>
            <w:pPr>
              <w:widowControl/>
              <w:spacing w:line="240" w:lineRule="exact"/>
              <w:jc w:val="center"/>
              <w:textAlignment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升级</w:t>
            </w:r>
          </w:p>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color w:val="auto"/>
                <w:sz w:val="15"/>
                <w:szCs w:val="15"/>
                <w:lang w:val="en-US" w:eastAsia="zh-CN"/>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shd w:val="clear" w:color="auto" w:fill="auto"/>
            <w:vAlign w:val="center"/>
          </w:tcPr>
          <w:p>
            <w:pPr>
              <w:widowControl/>
              <w:spacing w:line="240" w:lineRule="exact"/>
              <w:jc w:val="left"/>
              <w:textAlignment w:val="center"/>
              <w:rPr>
                <w:rFonts w:hint="eastAsia" w:ascii="宋体" w:hAnsi="宋体" w:eastAsia="宋体"/>
                <w:color w:val="000000"/>
                <w:sz w:val="15"/>
                <w:szCs w:val="15"/>
              </w:rPr>
            </w:pPr>
          </w:p>
        </w:tc>
        <w:tc>
          <w:tcPr>
            <w:tcW w:w="888" w:type="dxa"/>
            <w:vMerge w:val="continue"/>
            <w:shd w:val="clear" w:color="auto" w:fill="auto"/>
            <w:vAlign w:val="center"/>
          </w:tcPr>
          <w:p>
            <w:pPr>
              <w:widowControl/>
              <w:spacing w:line="240" w:lineRule="exact"/>
              <w:jc w:val="center"/>
              <w:textAlignment w:val="center"/>
              <w:rPr>
                <w:rFonts w:hint="eastAsia" w:ascii="宋体" w:hAnsi="宋体" w:eastAsia="宋体"/>
                <w:color w:val="000000"/>
                <w:sz w:val="15"/>
                <w:szCs w:val="15"/>
              </w:rPr>
            </w:pPr>
          </w:p>
        </w:tc>
        <w:tc>
          <w:tcPr>
            <w:tcW w:w="1179" w:type="dxa"/>
            <w:vMerge w:val="continue"/>
            <w:shd w:val="clear" w:color="auto" w:fill="auto"/>
            <w:vAlign w:val="center"/>
          </w:tcPr>
          <w:p>
            <w:pPr>
              <w:widowControl/>
              <w:spacing w:line="240" w:lineRule="exact"/>
              <w:jc w:val="left"/>
              <w:textAlignment w:val="center"/>
              <w:rPr>
                <w:rFonts w:hint="eastAsia" w:ascii="宋体" w:hAnsi="宋体" w:eastAsia="宋体" w:cs="宋体"/>
                <w:sz w:val="15"/>
                <w:szCs w:val="15"/>
                <w:lang w:val="en-US" w:eastAsia="zh-CN"/>
              </w:rPr>
            </w:pPr>
          </w:p>
        </w:tc>
        <w:tc>
          <w:tcPr>
            <w:tcW w:w="819" w:type="dxa"/>
            <w:vMerge w:val="continue"/>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p>
        </w:tc>
        <w:tc>
          <w:tcPr>
            <w:tcW w:w="640" w:type="dxa"/>
            <w:vMerge w:val="continue"/>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p>
        </w:tc>
        <w:tc>
          <w:tcPr>
            <w:tcW w:w="3833" w:type="dxa"/>
            <w:vMerge w:val="continue"/>
            <w:shd w:val="clear" w:color="auto" w:fill="auto"/>
            <w:vAlign w:val="center"/>
          </w:tcPr>
          <w:p>
            <w:pPr>
              <w:widowControl/>
              <w:spacing w:line="240" w:lineRule="exact"/>
              <w:jc w:val="left"/>
              <w:textAlignment w:val="center"/>
              <w:rPr>
                <w:rFonts w:hint="eastAsia" w:ascii="宋体" w:hAnsi="宋体" w:eastAsia="宋体" w:cs="宋体"/>
                <w:sz w:val="15"/>
                <w:szCs w:val="15"/>
                <w:lang w:val="en-US" w:eastAsia="zh-CN"/>
              </w:rPr>
            </w:pPr>
          </w:p>
        </w:tc>
        <w:tc>
          <w:tcPr>
            <w:tcW w:w="11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p>
        </w:tc>
        <w:tc>
          <w:tcPr>
            <w:tcW w:w="1729" w:type="dxa"/>
            <w:vMerge w:val="continue"/>
            <w:shd w:val="clear" w:color="auto" w:fill="auto"/>
            <w:vAlign w:val="center"/>
          </w:tcPr>
          <w:p>
            <w:pPr>
              <w:spacing w:line="240" w:lineRule="exact"/>
              <w:jc w:val="center"/>
              <w:textAlignment w:val="center"/>
              <w:rPr>
                <w:rFonts w:hint="eastAsia" w:ascii="宋体" w:hAnsi="宋体" w:eastAsia="宋体"/>
                <w:color w:val="000000"/>
                <w:sz w:val="15"/>
                <w:szCs w:val="15"/>
              </w:rPr>
            </w:pPr>
          </w:p>
        </w:tc>
        <w:tc>
          <w:tcPr>
            <w:tcW w:w="1895" w:type="dxa"/>
            <w:vMerge w:val="continue"/>
            <w:shd w:val="clear" w:color="auto" w:fill="auto"/>
            <w:vAlign w:val="center"/>
          </w:tcPr>
          <w:p>
            <w:pPr>
              <w:widowControl/>
              <w:spacing w:line="240" w:lineRule="exact"/>
              <w:jc w:val="left"/>
              <w:textAlignment w:val="center"/>
              <w:rPr>
                <w:rFonts w:hint="eastAsia" w:ascii="宋体" w:hAnsi="宋体" w:eastAsia="宋体"/>
                <w:color w:val="000000"/>
                <w:sz w:val="15"/>
                <w:szCs w:val="15"/>
              </w:rPr>
            </w:pPr>
          </w:p>
        </w:tc>
        <w:tc>
          <w:tcPr>
            <w:tcW w:w="726" w:type="dxa"/>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jc w:val="center"/>
        </w:trPr>
        <w:tc>
          <w:tcPr>
            <w:tcW w:w="378" w:type="dxa"/>
            <w:vMerge w:val="continue"/>
            <w:vAlign w:val="center"/>
          </w:tcPr>
          <w:p>
            <w:pPr>
              <w:widowControl/>
              <w:spacing w:line="240" w:lineRule="exact"/>
              <w:jc w:val="center"/>
              <w:textAlignment w:val="center"/>
              <w:rPr>
                <w:rFonts w:ascii="宋体" w:hAnsi="宋体" w:eastAsia="宋体" w:cs="宋体"/>
                <w:kern w:val="0"/>
                <w:sz w:val="15"/>
                <w:szCs w:val="15"/>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shd w:val="clear" w:color="auto" w:fill="auto"/>
            <w:vAlign w:val="center"/>
          </w:tcPr>
          <w:p>
            <w:pPr>
              <w:widowControl/>
              <w:spacing w:line="240" w:lineRule="exact"/>
              <w:jc w:val="left"/>
              <w:textAlignment w:val="center"/>
              <w:rPr>
                <w:rFonts w:ascii="宋体" w:hAnsi="宋体" w:eastAsia="宋体" w:cs="宋体"/>
                <w:sz w:val="15"/>
                <w:szCs w:val="15"/>
              </w:rPr>
            </w:pPr>
          </w:p>
        </w:tc>
        <w:tc>
          <w:tcPr>
            <w:tcW w:w="888" w:type="dxa"/>
            <w:vMerge w:val="continue"/>
            <w:shd w:val="clear" w:color="auto" w:fill="auto"/>
            <w:vAlign w:val="center"/>
          </w:tcPr>
          <w:p>
            <w:pPr>
              <w:widowControl/>
              <w:spacing w:line="240" w:lineRule="exact"/>
              <w:jc w:val="center"/>
              <w:textAlignment w:val="center"/>
              <w:rPr>
                <w:rFonts w:ascii="宋体" w:hAnsi="宋体" w:eastAsia="宋体" w:cs="宋体"/>
                <w:sz w:val="15"/>
                <w:szCs w:val="15"/>
              </w:rPr>
            </w:pPr>
          </w:p>
        </w:tc>
        <w:tc>
          <w:tcPr>
            <w:tcW w:w="1179" w:type="dxa"/>
            <w:shd w:val="clear" w:color="auto" w:fill="auto"/>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铝电解智能精准控制系统改造项目</w:t>
            </w:r>
          </w:p>
        </w:tc>
        <w:tc>
          <w:tcPr>
            <w:tcW w:w="819" w:type="dxa"/>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800</w:t>
            </w:r>
          </w:p>
        </w:tc>
        <w:tc>
          <w:tcPr>
            <w:tcW w:w="640" w:type="dxa"/>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自筹</w:t>
            </w:r>
          </w:p>
        </w:tc>
        <w:tc>
          <w:tcPr>
            <w:tcW w:w="3833" w:type="dxa"/>
            <w:shd w:val="clear" w:color="auto" w:fill="auto"/>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对现有的槽控系统进行改造，实现电解槽精确下料控制，打壳“深度”可控，形成控制系统的闭环控制，打造铝电解智能控制中心，进而降低电耗，提升电流效率，进一步降低生产成本。</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2023年3月</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2023年12月</w:t>
            </w:r>
          </w:p>
        </w:tc>
        <w:tc>
          <w:tcPr>
            <w:tcW w:w="1729" w:type="dxa"/>
            <w:vMerge w:val="continue"/>
            <w:shd w:val="clear" w:color="auto" w:fill="auto"/>
            <w:vAlign w:val="center"/>
          </w:tcPr>
          <w:p>
            <w:pPr>
              <w:spacing w:line="240" w:lineRule="exact"/>
              <w:jc w:val="center"/>
              <w:textAlignment w:val="center"/>
              <w:rPr>
                <w:rFonts w:ascii="宋体" w:hAnsi="宋体" w:eastAsia="宋体" w:cs="宋体"/>
                <w:sz w:val="15"/>
                <w:szCs w:val="15"/>
              </w:rPr>
            </w:pPr>
          </w:p>
        </w:tc>
        <w:tc>
          <w:tcPr>
            <w:tcW w:w="1895" w:type="dxa"/>
            <w:shd w:val="clear" w:color="auto" w:fill="auto"/>
            <w:vAlign w:val="center"/>
          </w:tcPr>
          <w:p>
            <w:pPr>
              <w:widowControl/>
              <w:spacing w:line="240" w:lineRule="exact"/>
              <w:jc w:val="center"/>
              <w:textAlignment w:val="center"/>
              <w:rPr>
                <w:rFonts w:ascii="宋体" w:hAnsi="宋体" w:eastAsia="宋体" w:cs="宋体"/>
                <w:kern w:val="0"/>
                <w:sz w:val="15"/>
                <w:szCs w:val="15"/>
              </w:rPr>
            </w:pPr>
            <w:r>
              <w:rPr>
                <w:rFonts w:hint="eastAsia" w:ascii="宋体" w:hAnsi="宋体" w:eastAsia="宋体" w:cs="宋体"/>
                <w:color w:val="000000"/>
                <w:kern w:val="0"/>
                <w:sz w:val="15"/>
                <w:szCs w:val="15"/>
              </w:rPr>
              <w:t>铝液电解交流电耗</w:t>
            </w:r>
            <w:r>
              <w:rPr>
                <w:rFonts w:hint="eastAsia" w:ascii="宋体" w:hAnsi="宋体" w:eastAsia="宋体" w:cs="宋体"/>
                <w:kern w:val="0"/>
                <w:sz w:val="15"/>
                <w:szCs w:val="15"/>
              </w:rPr>
              <w:t>13159</w:t>
            </w:r>
            <w:r>
              <w:rPr>
                <w:rFonts w:hint="eastAsia" w:ascii="宋体" w:hAnsi="宋体" w:eastAsia="宋体" w:cs="宋体"/>
                <w:color w:val="000000"/>
                <w:kern w:val="0"/>
                <w:sz w:val="15"/>
                <w:szCs w:val="15"/>
              </w:rPr>
              <w:t>(kwh/t</w:t>
            </w:r>
            <w:r>
              <w:rPr>
                <w:rFonts w:hint="eastAsia" w:ascii="宋体" w:hAnsi="宋体" w:eastAsia="宋体" w:cs="宋体"/>
                <w:color w:val="000000"/>
                <w:kern w:val="0"/>
                <w:sz w:val="15"/>
                <w:szCs w:val="15"/>
                <w:lang w:eastAsia="zh-CN"/>
              </w:rPr>
              <w:t>）</w:t>
            </w:r>
            <w:r>
              <w:rPr>
                <w:rFonts w:hint="eastAsia" w:ascii="宋体" w:hAnsi="宋体" w:eastAsia="宋体" w:cs="宋体"/>
                <w:kern w:val="0"/>
                <w:sz w:val="15"/>
                <w:szCs w:val="15"/>
              </w:rPr>
              <w:t>（基准水平）</w:t>
            </w:r>
          </w:p>
        </w:tc>
        <w:tc>
          <w:tcPr>
            <w:tcW w:w="726" w:type="dxa"/>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升级</w:t>
            </w:r>
          </w:p>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jc w:val="center"/>
        </w:trPr>
        <w:tc>
          <w:tcPr>
            <w:tcW w:w="378" w:type="dxa"/>
            <w:vMerge w:val="restart"/>
            <w:vAlign w:val="center"/>
          </w:tcPr>
          <w:p>
            <w:pPr>
              <w:widowControl/>
              <w:spacing w:line="240" w:lineRule="exact"/>
              <w:jc w:val="center"/>
              <w:textAlignment w:val="center"/>
              <w:rPr>
                <w:rFonts w:hint="eastAsia"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5</w:t>
            </w:r>
          </w:p>
        </w:tc>
        <w:tc>
          <w:tcPr>
            <w:tcW w:w="958" w:type="dxa"/>
            <w:vMerge w:val="restart"/>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宋体"/>
                <w:sz w:val="15"/>
                <w:szCs w:val="15"/>
                <w:lang w:eastAsia="zh-CN"/>
              </w:rPr>
              <w:t>电解铝</w:t>
            </w:r>
          </w:p>
        </w:tc>
        <w:tc>
          <w:tcPr>
            <w:tcW w:w="1223" w:type="dxa"/>
            <w:vMerge w:val="restart"/>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olor w:val="000000"/>
                <w:sz w:val="15"/>
                <w:szCs w:val="15"/>
              </w:rPr>
              <w:t>青海物产工业投资有限公司</w:t>
            </w:r>
          </w:p>
        </w:tc>
        <w:tc>
          <w:tcPr>
            <w:tcW w:w="888" w:type="dxa"/>
            <w:vMerge w:val="restart"/>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olor w:val="000000"/>
                <w:sz w:val="15"/>
                <w:szCs w:val="15"/>
              </w:rPr>
              <w:t>青海省西宁市大通县</w:t>
            </w:r>
          </w:p>
        </w:tc>
        <w:tc>
          <w:tcPr>
            <w:tcW w:w="1179" w:type="dxa"/>
            <w:shd w:val="clear" w:color="auto" w:fill="auto"/>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电解槽低电压管理节能技术应用项目</w:t>
            </w:r>
          </w:p>
        </w:tc>
        <w:tc>
          <w:tcPr>
            <w:tcW w:w="819" w:type="dxa"/>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600</w:t>
            </w:r>
          </w:p>
        </w:tc>
        <w:tc>
          <w:tcPr>
            <w:tcW w:w="640" w:type="dxa"/>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自筹</w:t>
            </w:r>
          </w:p>
        </w:tc>
        <w:tc>
          <w:tcPr>
            <w:tcW w:w="3833" w:type="dxa"/>
            <w:shd w:val="clear" w:color="auto" w:fill="auto"/>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通过改善系列生产槽电解质成分，保持炉膛的进一步规整，同时辅助低过热度管理思想和减少散热条件等方式实现低电压管理，考虑到新开槽效率偏低，电耗过高，通过对电解槽焙烧、启动、非正常期的用料、电压管理、技术条件管理等方面大胆尝试探索，进一步降低生产成本和提高市场的竞争力。</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2023年3月</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2023年12月</w:t>
            </w:r>
          </w:p>
        </w:tc>
        <w:tc>
          <w:tcPr>
            <w:tcW w:w="1729" w:type="dxa"/>
            <w:vMerge w:val="restart"/>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宋体"/>
                <w:color w:val="000000"/>
                <w:kern w:val="0"/>
                <w:sz w:val="15"/>
                <w:szCs w:val="15"/>
              </w:rPr>
              <w:t>铝液电解交流电耗</w:t>
            </w:r>
            <w:r>
              <w:rPr>
                <w:rFonts w:ascii="宋体" w:hAnsi="宋体" w:eastAsia="宋体"/>
                <w:color w:val="000000"/>
                <w:sz w:val="15"/>
                <w:szCs w:val="15"/>
              </w:rPr>
              <w:t>13334.81</w:t>
            </w:r>
            <w:r>
              <w:rPr>
                <w:rFonts w:hint="eastAsia" w:ascii="宋体" w:hAnsi="宋体" w:eastAsia="宋体" w:cs="宋体"/>
                <w:color w:val="000000"/>
                <w:kern w:val="0"/>
                <w:sz w:val="15"/>
                <w:szCs w:val="15"/>
              </w:rPr>
              <w:t>(kwh/t</w:t>
            </w:r>
            <w:r>
              <w:rPr>
                <w:rFonts w:hint="eastAsia" w:ascii="宋体" w:hAnsi="宋体" w:eastAsia="宋体" w:cs="宋体"/>
                <w:color w:val="000000"/>
                <w:kern w:val="0"/>
                <w:sz w:val="15"/>
                <w:szCs w:val="15"/>
                <w:lang w:eastAsia="zh-CN"/>
              </w:rPr>
              <w:t>）</w:t>
            </w:r>
            <w:r>
              <w:rPr>
                <w:rFonts w:hint="eastAsia" w:ascii="宋体" w:hAnsi="宋体" w:eastAsia="宋体"/>
                <w:color w:val="000000"/>
                <w:sz w:val="15"/>
                <w:szCs w:val="15"/>
              </w:rPr>
              <w:br w:type="textWrapping"/>
            </w:r>
            <w:r>
              <w:rPr>
                <w:rFonts w:hint="eastAsia" w:ascii="宋体" w:hAnsi="宋体" w:eastAsia="宋体"/>
                <w:color w:val="000000"/>
                <w:sz w:val="15"/>
                <w:szCs w:val="15"/>
              </w:rPr>
              <w:t>（基准水平）</w:t>
            </w:r>
          </w:p>
        </w:tc>
        <w:tc>
          <w:tcPr>
            <w:tcW w:w="1895" w:type="dxa"/>
            <w:vMerge w:val="restart"/>
            <w:vAlign w:val="center"/>
          </w:tcPr>
          <w:p>
            <w:pPr>
              <w:widowControl/>
              <w:spacing w:line="240" w:lineRule="exact"/>
              <w:jc w:val="center"/>
              <w:textAlignment w:val="center"/>
              <w:rPr>
                <w:rFonts w:ascii="宋体" w:hAnsi="宋体" w:eastAsia="宋体" w:cs="宋体"/>
                <w:kern w:val="0"/>
                <w:sz w:val="15"/>
                <w:szCs w:val="15"/>
              </w:rPr>
            </w:pPr>
            <w:r>
              <w:rPr>
                <w:rFonts w:hint="eastAsia" w:ascii="宋体" w:hAnsi="宋体" w:eastAsia="宋体" w:cs="宋体"/>
                <w:color w:val="000000"/>
                <w:kern w:val="0"/>
                <w:sz w:val="15"/>
                <w:szCs w:val="15"/>
              </w:rPr>
              <w:t>铝液电解交流电耗</w:t>
            </w:r>
            <w:r>
              <w:rPr>
                <w:rFonts w:hint="eastAsia" w:ascii="宋体" w:hAnsi="宋体" w:eastAsia="宋体" w:cs="宋体"/>
                <w:kern w:val="0"/>
                <w:sz w:val="15"/>
                <w:szCs w:val="15"/>
              </w:rPr>
              <w:t>13159</w:t>
            </w:r>
            <w:r>
              <w:rPr>
                <w:rFonts w:hint="eastAsia" w:ascii="宋体" w:hAnsi="宋体" w:eastAsia="宋体" w:cs="宋体"/>
                <w:color w:val="000000"/>
                <w:kern w:val="0"/>
                <w:sz w:val="15"/>
                <w:szCs w:val="15"/>
              </w:rPr>
              <w:t>(kwh/t</w:t>
            </w:r>
            <w:r>
              <w:rPr>
                <w:rFonts w:hint="eastAsia" w:ascii="宋体" w:hAnsi="宋体" w:eastAsia="宋体" w:cs="宋体"/>
                <w:color w:val="000000"/>
                <w:kern w:val="0"/>
                <w:sz w:val="15"/>
                <w:szCs w:val="15"/>
                <w:lang w:eastAsia="zh-CN"/>
              </w:rPr>
              <w:t>）</w:t>
            </w:r>
            <w:r>
              <w:rPr>
                <w:rFonts w:hint="eastAsia" w:ascii="宋体" w:hAnsi="宋体" w:eastAsia="宋体" w:cs="宋体"/>
                <w:kern w:val="0"/>
                <w:sz w:val="15"/>
                <w:szCs w:val="15"/>
              </w:rPr>
              <w:t>（基准水平）</w:t>
            </w:r>
          </w:p>
        </w:tc>
        <w:tc>
          <w:tcPr>
            <w:tcW w:w="726" w:type="dxa"/>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升级</w:t>
            </w:r>
          </w:p>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atLeast"/>
          <w:jc w:val="center"/>
        </w:trPr>
        <w:tc>
          <w:tcPr>
            <w:tcW w:w="378" w:type="dxa"/>
            <w:vMerge w:val="continue"/>
            <w:vAlign w:val="center"/>
          </w:tcPr>
          <w:p>
            <w:pPr>
              <w:widowControl/>
              <w:spacing w:line="240" w:lineRule="exact"/>
              <w:jc w:val="center"/>
              <w:textAlignment w:val="center"/>
              <w:rPr>
                <w:rFonts w:ascii="宋体" w:hAnsi="宋体" w:eastAsia="宋体" w:cs="宋体"/>
                <w:kern w:val="0"/>
                <w:sz w:val="15"/>
                <w:szCs w:val="15"/>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vAlign w:val="center"/>
          </w:tcPr>
          <w:p>
            <w:pPr>
              <w:widowControl/>
              <w:spacing w:line="240" w:lineRule="exact"/>
              <w:jc w:val="left"/>
              <w:textAlignment w:val="center"/>
              <w:rPr>
                <w:rFonts w:ascii="宋体" w:hAnsi="宋体" w:eastAsia="宋体" w:cs="宋体"/>
                <w:sz w:val="15"/>
                <w:szCs w:val="15"/>
              </w:rPr>
            </w:pPr>
          </w:p>
        </w:tc>
        <w:tc>
          <w:tcPr>
            <w:tcW w:w="888" w:type="dxa"/>
            <w:vMerge w:val="continue"/>
            <w:vAlign w:val="center"/>
          </w:tcPr>
          <w:p>
            <w:pPr>
              <w:widowControl/>
              <w:spacing w:line="240" w:lineRule="exact"/>
              <w:jc w:val="center"/>
              <w:textAlignment w:val="center"/>
              <w:rPr>
                <w:rFonts w:ascii="宋体" w:hAnsi="宋体" w:eastAsia="宋体" w:cs="宋体"/>
                <w:sz w:val="15"/>
                <w:szCs w:val="15"/>
              </w:rPr>
            </w:pPr>
          </w:p>
        </w:tc>
        <w:tc>
          <w:tcPr>
            <w:tcW w:w="1179" w:type="dxa"/>
            <w:shd w:val="clear" w:color="auto" w:fill="auto"/>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电解槽节能技改大修项目</w:t>
            </w:r>
          </w:p>
        </w:tc>
        <w:tc>
          <w:tcPr>
            <w:tcW w:w="819" w:type="dxa"/>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880</w:t>
            </w:r>
          </w:p>
        </w:tc>
        <w:tc>
          <w:tcPr>
            <w:tcW w:w="640" w:type="dxa"/>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自筹</w:t>
            </w:r>
          </w:p>
        </w:tc>
        <w:tc>
          <w:tcPr>
            <w:tcW w:w="3833" w:type="dxa"/>
            <w:shd w:val="clear" w:color="auto" w:fill="auto"/>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对240kA电解系列12台单位产品铝液电解交流电耗较高的预焙铝电解槽利用大修槽的机会实施实施内衬结构优化，主要内容为：1）通过计算机模拟仿真软件进行校验，采用抑制水平电流技术减小槽内水平磁场，提高槽内流体动力学稳定性；2）对电解槽内衬进行热场模拟分析及内衬结构优化设计，从而获得更为理想的全槽热平衡状态，为稳定生产、节能降耗打下基础；3）采用磷生铁浇注阴极钢棒节能技术，有效降低阴极组压降，从而降低生产能耗。</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default" w:ascii="宋体" w:hAnsi="宋体" w:eastAsia="宋体" w:cs="宋体"/>
                <w:sz w:val="15"/>
                <w:szCs w:val="15"/>
                <w:lang w:val="en-US" w:eastAsia="zh-CN"/>
              </w:rPr>
              <w:t>2023</w:t>
            </w:r>
            <w:r>
              <w:rPr>
                <w:rFonts w:hint="eastAsia" w:ascii="宋体" w:hAnsi="宋体" w:eastAsia="宋体" w:cs="宋体"/>
                <w:sz w:val="15"/>
                <w:szCs w:val="15"/>
                <w:lang w:val="en-US" w:eastAsia="zh-CN"/>
              </w:rPr>
              <w:t>年</w:t>
            </w:r>
            <w:r>
              <w:rPr>
                <w:rFonts w:hint="default" w:ascii="宋体" w:hAnsi="宋体" w:eastAsia="宋体" w:cs="宋体"/>
                <w:sz w:val="15"/>
                <w:szCs w:val="15"/>
                <w:lang w:val="en-US" w:eastAsia="zh-CN"/>
              </w:rPr>
              <w:t>3</w:t>
            </w:r>
            <w:r>
              <w:rPr>
                <w:rFonts w:hint="eastAsia" w:ascii="宋体" w:hAnsi="宋体" w:eastAsia="宋体" w:cs="宋体"/>
                <w:sz w:val="15"/>
                <w:szCs w:val="15"/>
                <w:lang w:val="en-US" w:eastAsia="zh-CN"/>
              </w:rPr>
              <w:t>月</w:t>
            </w:r>
            <w:r>
              <w:rPr>
                <w:rFonts w:hint="default" w:ascii="宋体" w:hAnsi="宋体" w:eastAsia="宋体" w:cs="宋体"/>
                <w:sz w:val="15"/>
                <w:szCs w:val="15"/>
                <w:lang w:val="en-US" w:eastAsia="zh-CN"/>
              </w:rPr>
              <w:br w:type="textWrapping"/>
            </w:r>
            <w:r>
              <w:rPr>
                <w:rFonts w:hint="eastAsia" w:ascii="宋体" w:hAnsi="宋体" w:eastAsia="宋体" w:cs="宋体"/>
                <w:sz w:val="15"/>
                <w:szCs w:val="15"/>
                <w:lang w:val="en-US" w:eastAsia="zh-CN"/>
              </w:rPr>
              <w:t>－</w:t>
            </w:r>
            <w:r>
              <w:rPr>
                <w:rFonts w:hint="default" w:ascii="宋体" w:hAnsi="宋体" w:eastAsia="宋体" w:cs="宋体"/>
                <w:sz w:val="15"/>
                <w:szCs w:val="15"/>
                <w:lang w:val="en-US" w:eastAsia="zh-CN"/>
              </w:rPr>
              <w:br w:type="textWrapping"/>
            </w:r>
            <w:r>
              <w:rPr>
                <w:rFonts w:hint="default" w:ascii="宋体" w:hAnsi="宋体" w:eastAsia="宋体" w:cs="宋体"/>
                <w:sz w:val="15"/>
                <w:szCs w:val="15"/>
                <w:lang w:val="en-US" w:eastAsia="zh-CN"/>
              </w:rPr>
              <w:t>2023</w:t>
            </w:r>
            <w:r>
              <w:rPr>
                <w:rFonts w:hint="eastAsia" w:ascii="宋体" w:hAnsi="宋体" w:eastAsia="宋体" w:cs="宋体"/>
                <w:sz w:val="15"/>
                <w:szCs w:val="15"/>
                <w:lang w:val="en-US" w:eastAsia="zh-CN"/>
              </w:rPr>
              <w:t>年</w:t>
            </w:r>
            <w:r>
              <w:rPr>
                <w:rFonts w:hint="default" w:ascii="宋体" w:hAnsi="宋体" w:eastAsia="宋体" w:cs="宋体"/>
                <w:sz w:val="15"/>
                <w:szCs w:val="15"/>
                <w:lang w:val="en-US" w:eastAsia="zh-CN"/>
              </w:rPr>
              <w:t>10</w:t>
            </w:r>
            <w:r>
              <w:rPr>
                <w:rFonts w:hint="eastAsia" w:ascii="宋体" w:hAnsi="宋体" w:eastAsia="宋体" w:cs="宋体"/>
                <w:sz w:val="15"/>
                <w:szCs w:val="15"/>
                <w:lang w:val="en-US" w:eastAsia="zh-CN"/>
              </w:rPr>
              <w:t>月</w:t>
            </w:r>
          </w:p>
        </w:tc>
        <w:tc>
          <w:tcPr>
            <w:tcW w:w="1729" w:type="dxa"/>
            <w:vMerge w:val="continue"/>
            <w:vAlign w:val="center"/>
          </w:tcPr>
          <w:p>
            <w:pPr>
              <w:widowControl/>
              <w:spacing w:line="240" w:lineRule="exact"/>
              <w:jc w:val="center"/>
              <w:textAlignment w:val="center"/>
              <w:rPr>
                <w:rFonts w:ascii="宋体" w:hAnsi="宋体" w:eastAsia="宋体" w:cs="宋体"/>
                <w:sz w:val="15"/>
                <w:szCs w:val="15"/>
              </w:rPr>
            </w:pPr>
          </w:p>
        </w:tc>
        <w:tc>
          <w:tcPr>
            <w:tcW w:w="1895" w:type="dxa"/>
            <w:vMerge w:val="continue"/>
            <w:vAlign w:val="center"/>
          </w:tcPr>
          <w:p>
            <w:pPr>
              <w:widowControl/>
              <w:spacing w:line="240" w:lineRule="exact"/>
              <w:jc w:val="center"/>
              <w:textAlignment w:val="center"/>
              <w:rPr>
                <w:rFonts w:ascii="宋体" w:hAnsi="宋体" w:eastAsia="宋体" w:cs="宋体"/>
                <w:kern w:val="0"/>
                <w:sz w:val="15"/>
                <w:szCs w:val="15"/>
              </w:rPr>
            </w:pPr>
          </w:p>
        </w:tc>
        <w:tc>
          <w:tcPr>
            <w:tcW w:w="726" w:type="dxa"/>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升级</w:t>
            </w:r>
          </w:p>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6" w:hRule="atLeast"/>
          <w:jc w:val="center"/>
        </w:trPr>
        <w:tc>
          <w:tcPr>
            <w:tcW w:w="378" w:type="dxa"/>
            <w:vMerge w:val="continue"/>
            <w:vAlign w:val="center"/>
          </w:tcPr>
          <w:p>
            <w:pPr>
              <w:widowControl/>
              <w:spacing w:line="240" w:lineRule="exact"/>
              <w:jc w:val="center"/>
              <w:textAlignment w:val="center"/>
              <w:rPr>
                <w:rFonts w:ascii="宋体" w:hAnsi="宋体" w:eastAsia="宋体" w:cs="宋体"/>
                <w:kern w:val="0"/>
                <w:sz w:val="15"/>
                <w:szCs w:val="15"/>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vAlign w:val="center"/>
          </w:tcPr>
          <w:p>
            <w:pPr>
              <w:widowControl/>
              <w:spacing w:line="240" w:lineRule="exact"/>
              <w:jc w:val="left"/>
              <w:textAlignment w:val="center"/>
              <w:rPr>
                <w:rFonts w:ascii="宋体" w:hAnsi="宋体" w:eastAsia="宋体" w:cs="宋体"/>
                <w:sz w:val="15"/>
                <w:szCs w:val="15"/>
              </w:rPr>
            </w:pPr>
          </w:p>
        </w:tc>
        <w:tc>
          <w:tcPr>
            <w:tcW w:w="888" w:type="dxa"/>
            <w:vMerge w:val="continue"/>
            <w:vAlign w:val="center"/>
          </w:tcPr>
          <w:p>
            <w:pPr>
              <w:widowControl/>
              <w:spacing w:line="240" w:lineRule="exact"/>
              <w:jc w:val="center"/>
              <w:textAlignment w:val="center"/>
              <w:rPr>
                <w:rFonts w:ascii="宋体" w:hAnsi="宋体" w:eastAsia="宋体" w:cs="宋体"/>
                <w:sz w:val="15"/>
                <w:szCs w:val="15"/>
              </w:rPr>
            </w:pPr>
          </w:p>
        </w:tc>
        <w:tc>
          <w:tcPr>
            <w:tcW w:w="1179" w:type="dxa"/>
            <w:shd w:val="clear" w:color="auto" w:fill="auto"/>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循环水泵节能改造项目</w:t>
            </w:r>
          </w:p>
        </w:tc>
        <w:tc>
          <w:tcPr>
            <w:tcW w:w="819" w:type="dxa"/>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45</w:t>
            </w:r>
          </w:p>
        </w:tc>
        <w:tc>
          <w:tcPr>
            <w:tcW w:w="640" w:type="dxa"/>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自筹</w:t>
            </w:r>
          </w:p>
        </w:tc>
        <w:tc>
          <w:tcPr>
            <w:tcW w:w="3833" w:type="dxa"/>
            <w:shd w:val="clear" w:color="auto" w:fill="auto"/>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针对公司循环水系统老化，能耗偏高的问题，计划开展循环水系统整体优化节能改造项目，对公司的循环水系统进行整体优化，更换节能电机，对水泵及相关管路进行优化，节约能源消耗。</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default" w:ascii="宋体" w:hAnsi="宋体" w:eastAsia="宋体" w:cs="宋体"/>
                <w:sz w:val="15"/>
                <w:szCs w:val="15"/>
                <w:lang w:val="en-US" w:eastAsia="zh-CN"/>
              </w:rPr>
              <w:t>2023</w:t>
            </w:r>
            <w:r>
              <w:rPr>
                <w:rFonts w:hint="eastAsia" w:ascii="宋体" w:hAnsi="宋体" w:eastAsia="宋体" w:cs="宋体"/>
                <w:sz w:val="15"/>
                <w:szCs w:val="15"/>
                <w:lang w:val="en-US" w:eastAsia="zh-CN"/>
              </w:rPr>
              <w:t>年</w:t>
            </w:r>
            <w:r>
              <w:rPr>
                <w:rFonts w:hint="default" w:ascii="宋体" w:hAnsi="宋体" w:eastAsia="宋体" w:cs="宋体"/>
                <w:sz w:val="15"/>
                <w:szCs w:val="15"/>
                <w:lang w:val="en-US" w:eastAsia="zh-CN"/>
              </w:rPr>
              <w:t>3</w:t>
            </w:r>
            <w:r>
              <w:rPr>
                <w:rFonts w:hint="eastAsia" w:ascii="宋体" w:hAnsi="宋体" w:eastAsia="宋体" w:cs="宋体"/>
                <w:sz w:val="15"/>
                <w:szCs w:val="15"/>
                <w:lang w:val="en-US" w:eastAsia="zh-CN"/>
              </w:rPr>
              <w:t>月</w:t>
            </w:r>
            <w:r>
              <w:rPr>
                <w:rFonts w:hint="default" w:ascii="宋体" w:hAnsi="宋体" w:eastAsia="宋体" w:cs="宋体"/>
                <w:sz w:val="15"/>
                <w:szCs w:val="15"/>
                <w:lang w:val="en-US" w:eastAsia="zh-CN"/>
              </w:rPr>
              <w:br w:type="textWrapping"/>
            </w:r>
            <w:r>
              <w:rPr>
                <w:rFonts w:hint="eastAsia" w:ascii="宋体" w:hAnsi="宋体" w:eastAsia="宋体" w:cs="宋体"/>
                <w:sz w:val="15"/>
                <w:szCs w:val="15"/>
                <w:lang w:val="en-US" w:eastAsia="zh-CN"/>
              </w:rPr>
              <w:t>－</w:t>
            </w:r>
            <w:r>
              <w:rPr>
                <w:rFonts w:hint="default" w:ascii="宋体" w:hAnsi="宋体" w:eastAsia="宋体" w:cs="宋体"/>
                <w:sz w:val="15"/>
                <w:szCs w:val="15"/>
                <w:lang w:val="en-US" w:eastAsia="zh-CN"/>
              </w:rPr>
              <w:br w:type="textWrapping"/>
            </w:r>
            <w:r>
              <w:rPr>
                <w:rFonts w:hint="default" w:ascii="宋体" w:hAnsi="宋体" w:eastAsia="宋体" w:cs="宋体"/>
                <w:sz w:val="15"/>
                <w:szCs w:val="15"/>
                <w:lang w:val="en-US" w:eastAsia="zh-CN"/>
              </w:rPr>
              <w:t>2023</w:t>
            </w:r>
            <w:r>
              <w:rPr>
                <w:rFonts w:hint="eastAsia" w:ascii="宋体" w:hAnsi="宋体" w:eastAsia="宋体" w:cs="宋体"/>
                <w:sz w:val="15"/>
                <w:szCs w:val="15"/>
                <w:lang w:val="en-US" w:eastAsia="zh-CN"/>
              </w:rPr>
              <w:t>年6月</w:t>
            </w:r>
          </w:p>
        </w:tc>
        <w:tc>
          <w:tcPr>
            <w:tcW w:w="1729" w:type="dxa"/>
            <w:vMerge w:val="continue"/>
            <w:vAlign w:val="center"/>
          </w:tcPr>
          <w:p>
            <w:pPr>
              <w:widowControl/>
              <w:spacing w:line="240" w:lineRule="exact"/>
              <w:jc w:val="center"/>
              <w:textAlignment w:val="center"/>
              <w:rPr>
                <w:rFonts w:ascii="宋体" w:hAnsi="宋体" w:eastAsia="宋体" w:cs="宋体"/>
                <w:sz w:val="15"/>
                <w:szCs w:val="15"/>
              </w:rPr>
            </w:pPr>
          </w:p>
        </w:tc>
        <w:tc>
          <w:tcPr>
            <w:tcW w:w="1895" w:type="dxa"/>
            <w:vMerge w:val="restart"/>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p>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铝液综合电耗</w:t>
            </w:r>
          </w:p>
          <w:p>
            <w:pPr>
              <w:widowControl/>
              <w:spacing w:line="240" w:lineRule="exact"/>
              <w:jc w:val="center"/>
              <w:textAlignment w:val="center"/>
              <w:rPr>
                <w:rFonts w:hint="eastAsia" w:ascii="宋体" w:hAnsi="宋体" w:eastAsia="宋体" w:cs="宋体"/>
                <w:kern w:val="0"/>
                <w:sz w:val="15"/>
                <w:szCs w:val="15"/>
                <w:lang w:eastAsia="zh-CN"/>
              </w:rPr>
            </w:pPr>
            <w:r>
              <w:rPr>
                <w:rFonts w:hint="eastAsia" w:ascii="宋体" w:hAnsi="宋体" w:eastAsia="宋体" w:cs="宋体"/>
                <w:sz w:val="15"/>
                <w:szCs w:val="15"/>
                <w:lang w:val="en-US" w:eastAsia="zh-CN"/>
              </w:rPr>
              <w:t>13465(kwh/t）</w:t>
            </w:r>
          </w:p>
        </w:tc>
        <w:tc>
          <w:tcPr>
            <w:tcW w:w="726" w:type="dxa"/>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升级</w:t>
            </w:r>
          </w:p>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378" w:type="dxa"/>
            <w:vMerge w:val="restart"/>
            <w:vAlign w:val="center"/>
          </w:tcPr>
          <w:p>
            <w:pPr>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rPr>
              <w:t>6</w:t>
            </w:r>
          </w:p>
        </w:tc>
        <w:tc>
          <w:tcPr>
            <w:tcW w:w="958" w:type="dxa"/>
            <w:vMerge w:val="restart"/>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宋体"/>
                <w:sz w:val="15"/>
                <w:szCs w:val="15"/>
                <w:lang w:eastAsia="zh-CN"/>
              </w:rPr>
              <w:t>电解铝</w:t>
            </w:r>
          </w:p>
        </w:tc>
        <w:tc>
          <w:tcPr>
            <w:tcW w:w="1223" w:type="dxa"/>
            <w:vMerge w:val="restart"/>
            <w:vAlign w:val="center"/>
          </w:tcPr>
          <w:p>
            <w:pPr>
              <w:widowControl/>
              <w:spacing w:line="240" w:lineRule="exact"/>
              <w:jc w:val="center"/>
              <w:textAlignment w:val="center"/>
              <w:rPr>
                <w:rFonts w:hint="eastAsia" w:ascii="宋体" w:hAnsi="宋体" w:eastAsia="宋体"/>
                <w:color w:val="000000"/>
                <w:sz w:val="15"/>
                <w:szCs w:val="15"/>
              </w:rPr>
            </w:pPr>
            <w:r>
              <w:rPr>
                <w:rFonts w:hint="eastAsia" w:ascii="宋体" w:hAnsi="宋体" w:eastAsia="宋体"/>
                <w:color w:val="000000"/>
                <w:sz w:val="15"/>
                <w:szCs w:val="15"/>
              </w:rPr>
              <w:t>青海佳韵铝业股份有限公司</w:t>
            </w:r>
          </w:p>
        </w:tc>
        <w:tc>
          <w:tcPr>
            <w:tcW w:w="888" w:type="dxa"/>
            <w:vMerge w:val="restart"/>
            <w:vAlign w:val="center"/>
          </w:tcPr>
          <w:p>
            <w:pPr>
              <w:widowControl/>
              <w:spacing w:line="240" w:lineRule="exact"/>
              <w:jc w:val="center"/>
              <w:textAlignment w:val="center"/>
              <w:rPr>
                <w:rFonts w:hint="eastAsia" w:ascii="宋体" w:hAnsi="宋体" w:eastAsia="宋体" w:cs="宋体"/>
                <w:sz w:val="15"/>
                <w:szCs w:val="15"/>
                <w:lang w:eastAsia="zh-CN"/>
              </w:rPr>
            </w:pPr>
            <w:r>
              <w:rPr>
                <w:rFonts w:hint="eastAsia" w:ascii="宋体" w:hAnsi="宋体" w:eastAsia="宋体" w:cs="宋体"/>
                <w:sz w:val="15"/>
                <w:szCs w:val="15"/>
                <w:lang w:eastAsia="zh-CN"/>
              </w:rPr>
              <w:t>青海省</w:t>
            </w:r>
            <w:r>
              <w:rPr>
                <w:rFonts w:hint="eastAsia" w:ascii="宋体" w:hAnsi="宋体" w:eastAsia="宋体" w:cs="宋体"/>
                <w:sz w:val="15"/>
                <w:szCs w:val="15"/>
              </w:rPr>
              <w:t>海东市</w:t>
            </w:r>
            <w:r>
              <w:rPr>
                <w:rFonts w:hint="eastAsia" w:ascii="宋体" w:hAnsi="宋体" w:eastAsia="宋体" w:cs="宋体"/>
                <w:sz w:val="15"/>
                <w:szCs w:val="15"/>
                <w:lang w:eastAsia="zh-CN"/>
              </w:rPr>
              <w:t>化隆县</w:t>
            </w:r>
          </w:p>
        </w:tc>
        <w:tc>
          <w:tcPr>
            <w:tcW w:w="1179" w:type="dxa"/>
            <w:vAlign w:val="center"/>
          </w:tcPr>
          <w:p>
            <w:pPr>
              <w:widowControl/>
              <w:spacing w:line="240" w:lineRule="exact"/>
              <w:jc w:val="left"/>
              <w:textAlignment w:val="center"/>
              <w:rPr>
                <w:rFonts w:ascii="宋体" w:hAnsi="宋体" w:eastAsia="宋体" w:cs="宋体"/>
                <w:kern w:val="2"/>
                <w:sz w:val="15"/>
                <w:szCs w:val="15"/>
                <w:lang w:val="en-US" w:eastAsia="zh-CN" w:bidi="ar-SA"/>
              </w:rPr>
            </w:pPr>
            <w:r>
              <w:rPr>
                <w:rFonts w:hint="eastAsia" w:ascii="宋体" w:hAnsi="宋体" w:eastAsia="宋体" w:cs="宋体"/>
                <w:sz w:val="15"/>
                <w:szCs w:val="15"/>
              </w:rPr>
              <w:t>阳极电流在线监测系统配合单点打壳下料系统</w:t>
            </w:r>
          </w:p>
        </w:tc>
        <w:tc>
          <w:tcPr>
            <w:tcW w:w="819" w:type="dxa"/>
            <w:vAlign w:val="center"/>
          </w:tcPr>
          <w:p>
            <w:pPr>
              <w:widowControl/>
              <w:spacing w:line="240" w:lineRule="exact"/>
              <w:jc w:val="center"/>
              <w:textAlignment w:val="center"/>
              <w:rPr>
                <w:rFonts w:ascii="宋体" w:hAnsi="宋体" w:eastAsia="宋体" w:cs="宋体"/>
                <w:kern w:val="2"/>
                <w:sz w:val="15"/>
                <w:szCs w:val="15"/>
                <w:lang w:val="en-US" w:eastAsia="zh-CN" w:bidi="ar-SA"/>
              </w:rPr>
            </w:pPr>
            <w:r>
              <w:rPr>
                <w:rFonts w:hint="eastAsia" w:ascii="宋体" w:hAnsi="宋体" w:eastAsia="宋体" w:cs="宋体"/>
                <w:sz w:val="15"/>
                <w:szCs w:val="15"/>
              </w:rPr>
              <w:t>731</w:t>
            </w:r>
          </w:p>
        </w:tc>
        <w:tc>
          <w:tcPr>
            <w:tcW w:w="640"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自筹</w:t>
            </w:r>
          </w:p>
        </w:tc>
        <w:tc>
          <w:tcPr>
            <w:tcW w:w="3833" w:type="dxa"/>
            <w:vAlign w:val="center"/>
          </w:tcPr>
          <w:p>
            <w:pPr>
              <w:widowControl/>
              <w:spacing w:line="240" w:lineRule="exact"/>
              <w:jc w:val="left"/>
              <w:textAlignment w:val="center"/>
              <w:rPr>
                <w:rFonts w:ascii="宋体" w:hAnsi="宋体" w:eastAsia="宋体" w:cs="宋体"/>
                <w:kern w:val="2"/>
                <w:sz w:val="15"/>
                <w:szCs w:val="15"/>
                <w:lang w:val="en-US" w:eastAsia="zh-CN" w:bidi="ar-SA"/>
              </w:rPr>
            </w:pPr>
            <w:r>
              <w:rPr>
                <w:rFonts w:hint="eastAsia" w:ascii="宋体" w:hAnsi="宋体" w:eastAsia="宋体" w:cs="宋体"/>
                <w:sz w:val="15"/>
                <w:szCs w:val="15"/>
              </w:rPr>
              <w:t>在原有控制柜的基础上，增添智能单点打壳和单点下料，实行真正的区域浓度控制；换极采取单点停料，从而减少对整槽的影响，提高新极导电速度；能够控制打壳深度，打壳深度可调；对堵料和壳头包的情况，通过氧化铝浓度工艺控制的原理，从源头上解决堵料和壳头包，并对火眼卡堵、卡锤头准确报警，可以降低效应系数，使氧化铝浓度控制在1.5%--2.5%的范围之内。</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2022年2月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2022年4月</w:t>
            </w:r>
          </w:p>
        </w:tc>
        <w:tc>
          <w:tcPr>
            <w:tcW w:w="1729" w:type="dxa"/>
            <w:vMerge w:val="restart"/>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宋体"/>
                <w:color w:val="000000"/>
                <w:kern w:val="0"/>
                <w:sz w:val="15"/>
                <w:szCs w:val="15"/>
              </w:rPr>
              <w:t>铝液电解交流电耗</w:t>
            </w:r>
            <w:r>
              <w:rPr>
                <w:rFonts w:ascii="宋体" w:hAnsi="宋体" w:eastAsia="宋体" w:cs="宋体"/>
                <w:color w:val="000000"/>
                <w:kern w:val="0"/>
                <w:sz w:val="15"/>
                <w:szCs w:val="15"/>
              </w:rPr>
              <w:t>13305.94</w:t>
            </w:r>
            <w:r>
              <w:rPr>
                <w:rFonts w:hint="eastAsia" w:ascii="宋体" w:hAnsi="宋体" w:eastAsia="宋体" w:cs="宋体"/>
                <w:color w:val="000000"/>
                <w:kern w:val="0"/>
                <w:sz w:val="15"/>
                <w:szCs w:val="15"/>
              </w:rPr>
              <w:t>(kwh/t</w:t>
            </w:r>
            <w:r>
              <w:rPr>
                <w:rFonts w:hint="eastAsia" w:ascii="宋体" w:hAnsi="宋体" w:eastAsia="宋体" w:cs="宋体"/>
                <w:color w:val="000000"/>
                <w:kern w:val="0"/>
                <w:sz w:val="15"/>
                <w:szCs w:val="15"/>
                <w:lang w:eastAsia="zh-CN"/>
              </w:rPr>
              <w:t>）</w:t>
            </w:r>
            <w:r>
              <w:rPr>
                <w:rFonts w:hint="eastAsia" w:ascii="宋体" w:hAnsi="宋体" w:eastAsia="宋体" w:cs="宋体"/>
                <w:color w:val="000000"/>
                <w:kern w:val="0"/>
                <w:sz w:val="15"/>
                <w:szCs w:val="15"/>
              </w:rPr>
              <w:t>（基准水平）</w:t>
            </w:r>
          </w:p>
          <w:p>
            <w:pPr>
              <w:spacing w:line="240" w:lineRule="exact"/>
              <w:jc w:val="center"/>
              <w:textAlignment w:val="center"/>
              <w:rPr>
                <w:rFonts w:ascii="宋体" w:hAnsi="宋体" w:eastAsia="宋体" w:cs="宋体"/>
                <w:sz w:val="15"/>
                <w:szCs w:val="15"/>
              </w:rPr>
            </w:pPr>
          </w:p>
        </w:tc>
        <w:tc>
          <w:tcPr>
            <w:tcW w:w="1895" w:type="dxa"/>
            <w:vMerge w:val="restart"/>
            <w:vAlign w:val="center"/>
          </w:tcPr>
          <w:p>
            <w:pPr>
              <w:widowControl/>
              <w:spacing w:line="240" w:lineRule="exact"/>
              <w:jc w:val="center"/>
              <w:textAlignment w:val="center"/>
              <w:rPr>
                <w:rFonts w:ascii="宋体" w:hAnsi="宋体" w:eastAsia="宋体" w:cs="宋体"/>
                <w:kern w:val="0"/>
                <w:sz w:val="15"/>
                <w:szCs w:val="15"/>
                <w:lang w:val="en-US" w:eastAsia="zh-CN" w:bidi="ar-SA"/>
              </w:rPr>
            </w:pPr>
            <w:r>
              <w:rPr>
                <w:rFonts w:hint="eastAsia" w:ascii="宋体" w:hAnsi="宋体" w:eastAsia="宋体" w:cs="宋体"/>
                <w:color w:val="000000"/>
                <w:kern w:val="0"/>
                <w:sz w:val="15"/>
                <w:szCs w:val="15"/>
              </w:rPr>
              <w:t>铝液电解交流电耗13197(kwh/t</w:t>
            </w:r>
            <w:r>
              <w:rPr>
                <w:rFonts w:hint="eastAsia" w:ascii="宋体" w:hAnsi="宋体" w:eastAsia="宋体" w:cs="宋体"/>
                <w:color w:val="000000"/>
                <w:kern w:val="0"/>
                <w:sz w:val="15"/>
                <w:szCs w:val="15"/>
                <w:lang w:eastAsia="zh-CN"/>
              </w:rPr>
              <w:t>）</w:t>
            </w:r>
            <w:r>
              <w:rPr>
                <w:rFonts w:hint="eastAsia" w:ascii="宋体" w:hAnsi="宋体" w:eastAsia="宋体" w:cs="宋体"/>
                <w:color w:val="000000"/>
                <w:kern w:val="0"/>
                <w:sz w:val="15"/>
                <w:szCs w:val="15"/>
              </w:rPr>
              <w:t>（基准水平）</w:t>
            </w:r>
          </w:p>
        </w:tc>
        <w:tc>
          <w:tcPr>
            <w:tcW w:w="726" w:type="dxa"/>
            <w:vAlign w:val="center"/>
          </w:tcPr>
          <w:p>
            <w:pPr>
              <w:widowControl/>
              <w:spacing w:line="240" w:lineRule="exact"/>
              <w:jc w:val="center"/>
              <w:textAlignment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升级</w:t>
            </w:r>
          </w:p>
          <w:p>
            <w:pPr>
              <w:widowControl/>
              <w:spacing w:line="240" w:lineRule="exact"/>
              <w:jc w:val="center"/>
              <w:textAlignment w:val="center"/>
              <w:rPr>
                <w:rFonts w:hint="eastAsia" w:ascii="宋体" w:hAnsi="宋体" w:eastAsia="宋体" w:cs="宋体"/>
                <w:kern w:val="0"/>
                <w:sz w:val="15"/>
                <w:szCs w:val="15"/>
                <w:lang w:val="en-US" w:eastAsia="zh-CN" w:bidi="ar-SA"/>
              </w:rPr>
            </w:pPr>
            <w:r>
              <w:rPr>
                <w:rFonts w:hint="eastAsia" w:ascii="宋体" w:hAnsi="宋体" w:eastAsia="宋体" w:cs="宋体"/>
                <w:color w:val="000000"/>
                <w:kern w:val="0"/>
                <w:sz w:val="15"/>
                <w:szCs w:val="15"/>
              </w:rPr>
              <w:t>改造（已实施）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378" w:type="dxa"/>
            <w:vMerge w:val="continue"/>
            <w:vAlign w:val="center"/>
          </w:tcPr>
          <w:p>
            <w:pPr>
              <w:spacing w:line="240" w:lineRule="exact"/>
              <w:jc w:val="center"/>
              <w:textAlignment w:val="center"/>
              <w:rPr>
                <w:rFonts w:hint="eastAsia" w:ascii="宋体" w:hAnsi="宋体" w:eastAsia="宋体" w:cs="宋体"/>
                <w:kern w:val="0"/>
                <w:sz w:val="15"/>
                <w:szCs w:val="15"/>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vAlign w:val="center"/>
          </w:tcPr>
          <w:p>
            <w:pPr>
              <w:widowControl/>
              <w:spacing w:line="240" w:lineRule="exact"/>
              <w:jc w:val="left"/>
              <w:textAlignment w:val="center"/>
              <w:rPr>
                <w:rFonts w:hint="eastAsia" w:ascii="宋体" w:hAnsi="宋体" w:eastAsia="宋体" w:cs="宋体"/>
                <w:sz w:val="15"/>
                <w:szCs w:val="15"/>
              </w:rPr>
            </w:pPr>
          </w:p>
        </w:tc>
        <w:tc>
          <w:tcPr>
            <w:tcW w:w="888" w:type="dxa"/>
            <w:vMerge w:val="continue"/>
            <w:vAlign w:val="center"/>
          </w:tcPr>
          <w:p>
            <w:pPr>
              <w:widowControl/>
              <w:spacing w:line="240" w:lineRule="exact"/>
              <w:jc w:val="center"/>
              <w:textAlignment w:val="center"/>
              <w:rPr>
                <w:rFonts w:hint="eastAsia" w:ascii="宋体" w:hAnsi="宋体" w:eastAsia="宋体" w:cs="宋体"/>
                <w:sz w:val="15"/>
                <w:szCs w:val="15"/>
                <w:lang w:eastAsia="zh-CN"/>
              </w:rPr>
            </w:pPr>
          </w:p>
        </w:tc>
        <w:tc>
          <w:tcPr>
            <w:tcW w:w="1179" w:type="dxa"/>
            <w:vAlign w:val="center"/>
          </w:tcPr>
          <w:p>
            <w:pPr>
              <w:widowControl/>
              <w:spacing w:line="240" w:lineRule="exact"/>
              <w:jc w:val="left"/>
              <w:textAlignment w:val="center"/>
              <w:rPr>
                <w:rFonts w:ascii="宋体" w:hAnsi="宋体" w:eastAsia="宋体" w:cs="宋体"/>
                <w:kern w:val="2"/>
                <w:sz w:val="15"/>
                <w:szCs w:val="15"/>
                <w:lang w:val="en-US" w:eastAsia="zh-CN" w:bidi="ar-SA"/>
              </w:rPr>
            </w:pPr>
            <w:r>
              <w:rPr>
                <w:rFonts w:hint="eastAsia" w:ascii="宋体" w:hAnsi="宋体" w:eastAsia="宋体" w:cs="宋体"/>
                <w:sz w:val="15"/>
                <w:szCs w:val="15"/>
              </w:rPr>
              <w:t>数字化槽控机控制系统改造项目</w:t>
            </w:r>
          </w:p>
        </w:tc>
        <w:tc>
          <w:tcPr>
            <w:tcW w:w="819" w:type="dxa"/>
            <w:vAlign w:val="center"/>
          </w:tcPr>
          <w:p>
            <w:pPr>
              <w:widowControl/>
              <w:spacing w:line="240" w:lineRule="exact"/>
              <w:jc w:val="center"/>
              <w:textAlignment w:val="center"/>
              <w:rPr>
                <w:rFonts w:ascii="宋体" w:hAnsi="宋体" w:eastAsia="宋体" w:cs="宋体"/>
                <w:kern w:val="2"/>
                <w:sz w:val="15"/>
                <w:szCs w:val="15"/>
                <w:lang w:val="en-US" w:eastAsia="zh-CN" w:bidi="ar-SA"/>
              </w:rPr>
            </w:pPr>
            <w:r>
              <w:rPr>
                <w:rFonts w:hint="eastAsia" w:ascii="宋体" w:hAnsi="宋体" w:eastAsia="宋体" w:cs="宋体"/>
                <w:sz w:val="15"/>
                <w:szCs w:val="15"/>
              </w:rPr>
              <w:t>550</w:t>
            </w:r>
          </w:p>
        </w:tc>
        <w:tc>
          <w:tcPr>
            <w:tcW w:w="640"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自筹</w:t>
            </w:r>
          </w:p>
        </w:tc>
        <w:tc>
          <w:tcPr>
            <w:tcW w:w="3833" w:type="dxa"/>
            <w:vAlign w:val="center"/>
          </w:tcPr>
          <w:p>
            <w:pPr>
              <w:widowControl/>
              <w:spacing w:line="240" w:lineRule="exact"/>
              <w:jc w:val="left"/>
              <w:textAlignment w:val="center"/>
              <w:rPr>
                <w:rFonts w:ascii="宋体" w:hAnsi="宋体" w:eastAsia="宋体" w:cs="宋体"/>
                <w:kern w:val="2"/>
                <w:sz w:val="15"/>
                <w:szCs w:val="15"/>
                <w:lang w:val="en-US" w:eastAsia="zh-CN" w:bidi="ar-SA"/>
              </w:rPr>
            </w:pPr>
            <w:r>
              <w:rPr>
                <w:rFonts w:hint="eastAsia" w:ascii="宋体" w:hAnsi="宋体" w:eastAsia="宋体" w:cs="宋体"/>
                <w:sz w:val="15"/>
                <w:szCs w:val="15"/>
              </w:rPr>
              <w:t>（1）设备购置：购置数字化电解槽智能槽控机121台、区域浓度控制系统120套、在线精准母线位置系统120套；服务器、后台数据、工区客户端、机房监控各2台；远程工艺服务器、网络机柜及其组件、光纤设备及附件、电流频率转换器各1台；电流信号驱动器4台；全套备板10套。（2）软件购置：购置阿尔惠特铝电解智能控制系统嵌入式控制软件（V1.0）1套。</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2022年2月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2022年4月</w:t>
            </w:r>
          </w:p>
        </w:tc>
        <w:tc>
          <w:tcPr>
            <w:tcW w:w="1729" w:type="dxa"/>
            <w:vMerge w:val="continue"/>
            <w:vAlign w:val="center"/>
          </w:tcPr>
          <w:p>
            <w:pPr>
              <w:spacing w:line="240" w:lineRule="exact"/>
              <w:jc w:val="center"/>
              <w:textAlignment w:val="center"/>
              <w:rPr>
                <w:rFonts w:ascii="宋体" w:hAnsi="宋体" w:eastAsia="宋体" w:cs="宋体"/>
                <w:sz w:val="15"/>
                <w:szCs w:val="15"/>
              </w:rPr>
            </w:pPr>
          </w:p>
        </w:tc>
        <w:tc>
          <w:tcPr>
            <w:tcW w:w="1895" w:type="dxa"/>
            <w:vMerge w:val="continue"/>
            <w:vAlign w:val="center"/>
          </w:tcPr>
          <w:p>
            <w:pPr>
              <w:widowControl/>
              <w:spacing w:line="240" w:lineRule="exact"/>
              <w:jc w:val="left"/>
              <w:textAlignment w:val="center"/>
              <w:rPr>
                <w:rFonts w:hint="eastAsia" w:ascii="宋体" w:hAnsi="宋体" w:eastAsia="宋体" w:cs="宋体"/>
                <w:kern w:val="0"/>
                <w:sz w:val="15"/>
                <w:szCs w:val="15"/>
                <w:lang w:val="en-US" w:eastAsia="zh-CN" w:bidi="ar-SA"/>
              </w:rPr>
            </w:pPr>
          </w:p>
        </w:tc>
        <w:tc>
          <w:tcPr>
            <w:tcW w:w="726" w:type="dxa"/>
            <w:vAlign w:val="center"/>
          </w:tcPr>
          <w:p>
            <w:pPr>
              <w:widowControl/>
              <w:spacing w:line="240" w:lineRule="exact"/>
              <w:jc w:val="center"/>
              <w:textAlignment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升级</w:t>
            </w:r>
          </w:p>
          <w:p>
            <w:pPr>
              <w:widowControl/>
              <w:spacing w:line="240" w:lineRule="exact"/>
              <w:jc w:val="center"/>
              <w:textAlignment w:val="center"/>
              <w:rPr>
                <w:rFonts w:hint="eastAsia" w:ascii="宋体" w:hAnsi="宋体" w:eastAsia="宋体" w:cs="宋体"/>
                <w:kern w:val="0"/>
                <w:sz w:val="15"/>
                <w:szCs w:val="15"/>
                <w:lang w:val="en-US" w:eastAsia="zh-CN" w:bidi="ar-SA"/>
              </w:rPr>
            </w:pPr>
            <w:r>
              <w:rPr>
                <w:rFonts w:hint="eastAsia" w:ascii="宋体" w:hAnsi="宋体" w:eastAsia="宋体" w:cs="宋体"/>
                <w:color w:val="000000"/>
                <w:kern w:val="0"/>
                <w:sz w:val="15"/>
                <w:szCs w:val="15"/>
              </w:rPr>
              <w:t>改造（已实施）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378" w:type="dxa"/>
            <w:vAlign w:val="center"/>
          </w:tcPr>
          <w:p>
            <w:pPr>
              <w:widowControl/>
              <w:spacing w:line="240" w:lineRule="exact"/>
              <w:jc w:val="center"/>
              <w:textAlignment w:val="center"/>
              <w:rPr>
                <w:rFonts w:ascii="宋体" w:hAnsi="宋体" w:eastAsia="宋体" w:cs="宋体"/>
                <w:kern w:val="0"/>
                <w:sz w:val="15"/>
                <w:szCs w:val="15"/>
              </w:rPr>
            </w:pPr>
            <w:r>
              <w:rPr>
                <w:rFonts w:hint="eastAsia" w:ascii="宋体" w:hAnsi="宋体" w:eastAsia="宋体" w:cs="宋体"/>
                <w:kern w:val="0"/>
                <w:sz w:val="15"/>
                <w:szCs w:val="15"/>
              </w:rPr>
              <w:t>7</w:t>
            </w: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Align w:val="center"/>
          </w:tcPr>
          <w:p>
            <w:pPr>
              <w:widowControl/>
              <w:spacing w:line="240" w:lineRule="exact"/>
              <w:jc w:val="center"/>
              <w:textAlignment w:val="center"/>
              <w:rPr>
                <w:rFonts w:ascii="宋体" w:hAnsi="宋体" w:eastAsia="宋体" w:cs="宋体"/>
                <w:color w:val="auto"/>
                <w:sz w:val="15"/>
                <w:szCs w:val="15"/>
              </w:rPr>
            </w:pPr>
            <w:r>
              <w:rPr>
                <w:rFonts w:hint="eastAsia" w:ascii="宋体" w:hAnsi="宋体" w:eastAsia="宋体" w:cs="宋体"/>
                <w:color w:val="auto"/>
                <w:sz w:val="15"/>
                <w:szCs w:val="15"/>
              </w:rPr>
              <w:t>中国铝业青海分公司</w:t>
            </w:r>
          </w:p>
        </w:tc>
        <w:tc>
          <w:tcPr>
            <w:tcW w:w="888"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ascii="宋体" w:hAnsi="宋体" w:eastAsia="宋体" w:cs="宋体"/>
                <w:sz w:val="15"/>
                <w:szCs w:val="15"/>
              </w:rPr>
            </w:pPr>
            <w:r>
              <w:rPr>
                <w:rFonts w:hint="eastAsia" w:ascii="宋体" w:hAnsi="宋体" w:eastAsia="宋体"/>
                <w:color w:val="000000"/>
                <w:sz w:val="15"/>
                <w:szCs w:val="15"/>
              </w:rPr>
              <w:t>青海省西宁市大通县</w:t>
            </w:r>
          </w:p>
        </w:tc>
        <w:tc>
          <w:tcPr>
            <w:tcW w:w="1179" w:type="dxa"/>
            <w:vAlign w:val="center"/>
          </w:tcPr>
          <w:p>
            <w:pPr>
              <w:widowControl/>
              <w:spacing w:line="240" w:lineRule="exact"/>
              <w:jc w:val="left"/>
              <w:textAlignment w:val="center"/>
              <w:rPr>
                <w:rFonts w:ascii="宋体" w:hAnsi="宋体" w:eastAsia="宋体" w:cs="宋体"/>
                <w:sz w:val="15"/>
                <w:szCs w:val="15"/>
              </w:rPr>
            </w:pPr>
            <w:r>
              <w:rPr>
                <w:rFonts w:hint="eastAsia" w:ascii="宋体" w:hAnsi="宋体" w:eastAsia="宋体" w:cs="Arial"/>
                <w:kern w:val="0"/>
                <w:sz w:val="15"/>
                <w:szCs w:val="15"/>
              </w:rPr>
              <w:t>600kA 电解槽产能置换升级项目</w:t>
            </w:r>
          </w:p>
        </w:tc>
        <w:tc>
          <w:tcPr>
            <w:tcW w:w="819" w:type="dxa"/>
            <w:vAlign w:val="center"/>
          </w:tcPr>
          <w:p>
            <w:pPr>
              <w:widowControl/>
              <w:spacing w:line="240" w:lineRule="exact"/>
              <w:jc w:val="center"/>
              <w:textAlignment w:val="center"/>
              <w:rPr>
                <w:rFonts w:ascii="宋体" w:hAnsi="宋体" w:eastAsia="宋体" w:cs="宋体"/>
                <w:sz w:val="15"/>
                <w:szCs w:val="15"/>
              </w:rPr>
            </w:pPr>
            <w:r>
              <w:rPr>
                <w:rFonts w:ascii="宋体" w:hAnsi="宋体" w:eastAsia="宋体" w:cs="Arial"/>
                <w:kern w:val="0"/>
                <w:sz w:val="15"/>
                <w:szCs w:val="15"/>
              </w:rPr>
              <w:t>347745.17</w:t>
            </w:r>
          </w:p>
        </w:tc>
        <w:tc>
          <w:tcPr>
            <w:tcW w:w="640"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自筹</w:t>
            </w:r>
          </w:p>
        </w:tc>
        <w:tc>
          <w:tcPr>
            <w:tcW w:w="3833" w:type="dxa"/>
            <w:vAlign w:val="center"/>
          </w:tcPr>
          <w:p>
            <w:pPr>
              <w:widowControl/>
              <w:spacing w:line="240" w:lineRule="exact"/>
              <w:jc w:val="left"/>
              <w:textAlignment w:val="center"/>
              <w:rPr>
                <w:rFonts w:hint="eastAsia" w:ascii="宋体" w:hAnsi="宋体" w:eastAsia="宋体" w:cs="宋体"/>
                <w:sz w:val="15"/>
                <w:szCs w:val="15"/>
                <w:lang w:eastAsia="zh-CN"/>
              </w:rPr>
            </w:pPr>
            <w:r>
              <w:rPr>
                <w:rFonts w:hint="eastAsia" w:ascii="宋体" w:hAnsi="宋体" w:eastAsia="宋体" w:cs="Arial"/>
                <w:kern w:val="0"/>
                <w:sz w:val="15"/>
                <w:szCs w:val="15"/>
              </w:rPr>
              <w:t>对现有40万吨产能进行产能置换，另外购置20万吨产能，建设成60万吨600KA电解生产及配套的电解铝生产线</w:t>
            </w:r>
            <w:r>
              <w:rPr>
                <w:rFonts w:hint="eastAsia" w:ascii="宋体" w:hAnsi="宋体" w:eastAsia="宋体" w:cs="Arial"/>
                <w:kern w:val="0"/>
                <w:sz w:val="15"/>
                <w:szCs w:val="15"/>
                <w:lang w:eastAsia="zh-CN"/>
              </w:rPr>
              <w:t>。</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2023年1月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2025年3月</w:t>
            </w:r>
          </w:p>
        </w:tc>
        <w:tc>
          <w:tcPr>
            <w:tcW w:w="1729" w:type="dxa"/>
            <w:vAlign w:val="center"/>
          </w:tcPr>
          <w:p>
            <w:pPr>
              <w:widowControl/>
              <w:spacing w:line="240" w:lineRule="exact"/>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铝液电解交流电耗</w:t>
            </w:r>
          </w:p>
          <w:p>
            <w:pPr>
              <w:widowControl/>
              <w:spacing w:line="240" w:lineRule="exact"/>
              <w:jc w:val="center"/>
              <w:textAlignment w:val="center"/>
              <w:rPr>
                <w:rFonts w:ascii="宋体" w:hAnsi="宋体" w:eastAsia="宋体" w:cs="宋体"/>
                <w:color w:val="000000"/>
                <w:kern w:val="0"/>
                <w:sz w:val="15"/>
                <w:szCs w:val="15"/>
              </w:rPr>
            </w:pPr>
            <w:r>
              <w:rPr>
                <w:rFonts w:ascii="宋体" w:hAnsi="宋体" w:eastAsia="宋体" w:cs="宋体"/>
                <w:color w:val="000000"/>
                <w:kern w:val="0"/>
                <w:sz w:val="15"/>
                <w:szCs w:val="15"/>
              </w:rPr>
              <w:t>13092.81</w:t>
            </w:r>
            <w:r>
              <w:rPr>
                <w:rFonts w:hint="eastAsia" w:ascii="宋体" w:hAnsi="宋体" w:eastAsia="宋体" w:cs="宋体"/>
                <w:color w:val="000000"/>
                <w:kern w:val="0"/>
                <w:sz w:val="15"/>
                <w:szCs w:val="15"/>
              </w:rPr>
              <w:t>(kwh/t</w:t>
            </w:r>
            <w:r>
              <w:rPr>
                <w:rFonts w:hint="eastAsia" w:ascii="宋体" w:hAnsi="宋体" w:eastAsia="宋体" w:cs="宋体"/>
                <w:color w:val="000000"/>
                <w:kern w:val="0"/>
                <w:sz w:val="15"/>
                <w:szCs w:val="15"/>
                <w:lang w:eastAsia="zh-CN"/>
              </w:rPr>
              <w:t>）</w:t>
            </w:r>
          </w:p>
          <w:p>
            <w:pPr>
              <w:widowControl/>
              <w:spacing w:line="240" w:lineRule="exact"/>
              <w:jc w:val="center"/>
              <w:textAlignment w:val="center"/>
              <w:rPr>
                <w:rFonts w:ascii="宋体" w:hAnsi="宋体" w:eastAsia="宋体" w:cs="宋体"/>
                <w:sz w:val="15"/>
                <w:szCs w:val="15"/>
              </w:rPr>
            </w:pPr>
            <w:r>
              <w:rPr>
                <w:rFonts w:hint="eastAsia" w:ascii="宋体" w:hAnsi="宋体" w:eastAsia="宋体" w:cs="宋体"/>
                <w:color w:val="000000"/>
                <w:kern w:val="0"/>
                <w:sz w:val="15"/>
                <w:szCs w:val="15"/>
              </w:rPr>
              <w:t>（基准水平）</w:t>
            </w:r>
          </w:p>
        </w:tc>
        <w:tc>
          <w:tcPr>
            <w:tcW w:w="1895" w:type="dxa"/>
            <w:vAlign w:val="center"/>
          </w:tcPr>
          <w:p>
            <w:pPr>
              <w:widowControl/>
              <w:spacing w:line="240" w:lineRule="exact"/>
              <w:jc w:val="center"/>
              <w:textAlignment w:val="center"/>
              <w:rPr>
                <w:rFonts w:ascii="宋体" w:hAnsi="宋体" w:eastAsia="宋体" w:cs="宋体"/>
                <w:kern w:val="0"/>
                <w:sz w:val="15"/>
                <w:szCs w:val="15"/>
              </w:rPr>
            </w:pPr>
            <w:r>
              <w:rPr>
                <w:rFonts w:hint="eastAsia" w:ascii="宋体" w:hAnsi="宋体" w:eastAsia="宋体" w:cs="宋体"/>
                <w:color w:val="000000"/>
                <w:kern w:val="0"/>
                <w:sz w:val="15"/>
                <w:szCs w:val="15"/>
              </w:rPr>
              <w:t>铝液电解交流电耗12624(kwh/t</w:t>
            </w:r>
            <w:r>
              <w:rPr>
                <w:rFonts w:hint="eastAsia" w:ascii="宋体" w:hAnsi="宋体" w:eastAsia="宋体" w:cs="宋体"/>
                <w:color w:val="000000"/>
                <w:kern w:val="0"/>
                <w:sz w:val="15"/>
                <w:szCs w:val="15"/>
                <w:lang w:eastAsia="zh-CN"/>
              </w:rPr>
              <w:t>）</w:t>
            </w:r>
            <w:r>
              <w:rPr>
                <w:rFonts w:hint="eastAsia" w:ascii="宋体" w:hAnsi="宋体" w:eastAsia="宋体" w:cs="宋体"/>
                <w:color w:val="000000"/>
                <w:kern w:val="0"/>
                <w:sz w:val="15"/>
                <w:szCs w:val="15"/>
              </w:rPr>
              <w:t>（标杆水平）</w:t>
            </w:r>
          </w:p>
        </w:tc>
        <w:tc>
          <w:tcPr>
            <w:tcW w:w="726" w:type="dxa"/>
            <w:vAlign w:val="center"/>
          </w:tcPr>
          <w:p>
            <w:pPr>
              <w:widowControl/>
              <w:spacing w:line="240" w:lineRule="exact"/>
              <w:jc w:val="center"/>
              <w:textAlignment w:val="center"/>
              <w:rPr>
                <w:rFonts w:hint="eastAsia" w:ascii="宋体" w:hAnsi="宋体" w:eastAsia="宋体" w:cs="Arial"/>
                <w:kern w:val="0"/>
                <w:sz w:val="15"/>
                <w:szCs w:val="15"/>
              </w:rPr>
            </w:pPr>
            <w:r>
              <w:rPr>
                <w:rFonts w:hint="eastAsia" w:ascii="宋体" w:hAnsi="宋体" w:eastAsia="宋体" w:cs="Arial"/>
                <w:kern w:val="0"/>
                <w:sz w:val="15"/>
                <w:szCs w:val="15"/>
              </w:rPr>
              <w:t>产能</w:t>
            </w:r>
          </w:p>
          <w:p>
            <w:pPr>
              <w:widowControl/>
              <w:spacing w:line="240" w:lineRule="exact"/>
              <w:jc w:val="center"/>
              <w:textAlignment w:val="center"/>
              <w:rPr>
                <w:rFonts w:ascii="宋体" w:hAnsi="宋体" w:eastAsia="宋体" w:cs="宋体"/>
                <w:kern w:val="0"/>
                <w:sz w:val="15"/>
                <w:szCs w:val="15"/>
              </w:rPr>
            </w:pPr>
            <w:r>
              <w:rPr>
                <w:rFonts w:hint="eastAsia" w:ascii="宋体" w:hAnsi="宋体" w:eastAsia="宋体" w:cs="Arial"/>
                <w:kern w:val="0"/>
                <w:sz w:val="15"/>
                <w:szCs w:val="15"/>
              </w:rPr>
              <w:t>置换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jc w:val="center"/>
        </w:trPr>
        <w:tc>
          <w:tcPr>
            <w:tcW w:w="378" w:type="dxa"/>
            <w:vMerge w:val="restart"/>
            <w:vAlign w:val="center"/>
          </w:tcPr>
          <w:p>
            <w:pPr>
              <w:widowControl/>
              <w:spacing w:line="240" w:lineRule="exact"/>
              <w:jc w:val="center"/>
              <w:textAlignment w:val="center"/>
              <w:rPr>
                <w:rFonts w:hint="eastAsia"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8</w:t>
            </w: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restart"/>
            <w:vAlign w:val="center"/>
          </w:tcPr>
          <w:p>
            <w:pPr>
              <w:widowControl/>
              <w:spacing w:line="240" w:lineRule="exact"/>
              <w:jc w:val="center"/>
              <w:textAlignment w:val="center"/>
              <w:rPr>
                <w:rFonts w:hint="eastAsia" w:ascii="宋体" w:hAnsi="宋体" w:eastAsia="宋体" w:cs="宋体"/>
                <w:color w:val="00B050"/>
                <w:sz w:val="15"/>
                <w:szCs w:val="15"/>
              </w:rPr>
            </w:pPr>
            <w:r>
              <w:rPr>
                <w:rFonts w:hint="eastAsia" w:ascii="宋体" w:hAnsi="宋体" w:eastAsia="宋体" w:cs="Arial"/>
                <w:kern w:val="0"/>
                <w:sz w:val="15"/>
                <w:szCs w:val="15"/>
              </w:rPr>
              <w:t>青海海源绿能铝业有限公司</w:t>
            </w:r>
          </w:p>
        </w:tc>
        <w:tc>
          <w:tcPr>
            <w:tcW w:w="888" w:type="dxa"/>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olor w:val="000000"/>
                <w:sz w:val="15"/>
                <w:szCs w:val="15"/>
              </w:rPr>
            </w:pPr>
            <w:r>
              <w:rPr>
                <w:rFonts w:hint="eastAsia" w:ascii="宋体" w:hAnsi="宋体" w:eastAsia="宋体"/>
                <w:color w:val="000000"/>
                <w:sz w:val="15"/>
                <w:szCs w:val="15"/>
              </w:rPr>
              <w:t>青海省西宁市甘河工业园区</w:t>
            </w:r>
          </w:p>
        </w:tc>
        <w:tc>
          <w:tcPr>
            <w:tcW w:w="1179" w:type="dxa"/>
            <w:vAlign w:val="center"/>
          </w:tcPr>
          <w:p>
            <w:pPr>
              <w:widowControl/>
              <w:spacing w:line="240" w:lineRule="exact"/>
              <w:jc w:val="left"/>
              <w:textAlignment w:val="center"/>
              <w:rPr>
                <w:rFonts w:hint="default" w:ascii="宋体" w:hAnsi="宋体" w:eastAsia="宋体" w:cs="宋体"/>
                <w:color w:val="auto"/>
                <w:kern w:val="0"/>
                <w:sz w:val="15"/>
                <w:szCs w:val="15"/>
                <w:lang w:val="en-US" w:eastAsia="zh-CN"/>
              </w:rPr>
            </w:pPr>
            <w:r>
              <w:rPr>
                <w:rFonts w:hint="eastAsia" w:ascii="宋体" w:hAnsi="宋体" w:eastAsia="宋体" w:cs="宋体"/>
                <w:color w:val="auto"/>
                <w:kern w:val="0"/>
                <w:sz w:val="15"/>
                <w:szCs w:val="15"/>
              </w:rPr>
              <w:t>母线提升机无风抱紧、增压改造</w:t>
            </w:r>
          </w:p>
        </w:tc>
        <w:tc>
          <w:tcPr>
            <w:tcW w:w="819" w:type="dxa"/>
            <w:vAlign w:val="center"/>
          </w:tcPr>
          <w:p>
            <w:pPr>
              <w:widowControl/>
              <w:spacing w:line="240" w:lineRule="exact"/>
              <w:jc w:val="center"/>
              <w:textAlignment w:val="center"/>
              <w:rPr>
                <w:rFonts w:ascii="宋体" w:hAnsi="宋体" w:eastAsia="宋体" w:cs="Arial"/>
                <w:kern w:val="0"/>
                <w:sz w:val="15"/>
                <w:szCs w:val="15"/>
              </w:rPr>
            </w:pPr>
            <w:r>
              <w:rPr>
                <w:rFonts w:hint="eastAsia" w:ascii="宋体" w:hAnsi="宋体" w:eastAsia="宋体" w:cs="宋体"/>
                <w:kern w:val="0"/>
                <w:sz w:val="15"/>
                <w:szCs w:val="15"/>
              </w:rPr>
              <w:t>200</w:t>
            </w:r>
          </w:p>
        </w:tc>
        <w:tc>
          <w:tcPr>
            <w:tcW w:w="640"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hint="eastAsia" w:ascii="宋体" w:hAnsi="宋体" w:eastAsia="宋体" w:cs="Arial"/>
                <w:kern w:val="0"/>
                <w:sz w:val="15"/>
                <w:szCs w:val="15"/>
              </w:rPr>
            </w:pPr>
            <w:r>
              <w:rPr>
                <w:rFonts w:hint="eastAsia" w:ascii="宋体" w:hAnsi="宋体" w:eastAsia="宋体" w:cs="宋体"/>
                <w:sz w:val="15"/>
                <w:szCs w:val="15"/>
              </w:rPr>
              <w:t>将原来顶部压紧气缸换成Ø180弹簧气缸，将气缸压紧改进为弹簧压紧。进气时弹簧气缸中的弹簧压缩，抱腿张开套入阳极导杆，断气后弹簧复位抱腿抱紧。同时每台设备增加2组增压器和8个180L储气罐（简单压力容器，手续齐全），均匀布置在设备顶部，利用增压器进行升压，储气罐进行稳压。</w:t>
            </w:r>
          </w:p>
        </w:tc>
        <w:tc>
          <w:tcPr>
            <w:tcW w:w="1134" w:type="dxa"/>
            <w:vAlign w:val="center"/>
          </w:tcPr>
          <w:p>
            <w:pPr>
              <w:widowControl/>
              <w:spacing w:line="140" w:lineRule="exact"/>
              <w:jc w:val="center"/>
              <w:textAlignment w:val="center"/>
              <w:rPr>
                <w:rFonts w:ascii="宋体" w:hAnsi="宋体" w:eastAsia="宋体" w:cs="宋体"/>
                <w:kern w:val="0"/>
                <w:sz w:val="15"/>
                <w:szCs w:val="15"/>
              </w:rPr>
            </w:pPr>
            <w:r>
              <w:rPr>
                <w:rFonts w:hint="eastAsia" w:ascii="宋体" w:hAnsi="宋体" w:eastAsia="宋体" w:cs="宋体"/>
                <w:kern w:val="0"/>
                <w:sz w:val="15"/>
                <w:szCs w:val="15"/>
              </w:rPr>
              <w:t>2022年3月</w:t>
            </w:r>
          </w:p>
          <w:p>
            <w:pPr>
              <w:widowControl/>
              <w:spacing w:line="140" w:lineRule="exact"/>
              <w:jc w:val="center"/>
              <w:textAlignment w:val="center"/>
              <w:rPr>
                <w:rFonts w:ascii="宋体" w:hAnsi="宋体" w:eastAsia="宋体" w:cs="宋体"/>
                <w:kern w:val="0"/>
                <w:sz w:val="15"/>
                <w:szCs w:val="15"/>
              </w:rPr>
            </w:pPr>
            <w:r>
              <w:rPr>
                <w:rFonts w:hint="eastAsia" w:ascii="宋体" w:hAnsi="宋体" w:eastAsia="宋体" w:cs="宋体"/>
                <w:kern w:val="0"/>
                <w:sz w:val="15"/>
                <w:szCs w:val="15"/>
              </w:rPr>
              <w:t>-</w:t>
            </w:r>
          </w:p>
          <w:p>
            <w:pPr>
              <w:widowControl/>
              <w:spacing w:line="140" w:lineRule="exact"/>
              <w:jc w:val="center"/>
              <w:textAlignment w:val="center"/>
              <w:rPr>
                <w:rFonts w:hint="eastAsia" w:ascii="宋体" w:hAnsi="宋体" w:eastAsia="宋体" w:cs="宋体"/>
                <w:sz w:val="15"/>
                <w:szCs w:val="15"/>
              </w:rPr>
            </w:pPr>
            <w:r>
              <w:rPr>
                <w:rFonts w:hint="eastAsia" w:ascii="宋体" w:hAnsi="宋体" w:eastAsia="宋体" w:cs="宋体"/>
                <w:kern w:val="0"/>
                <w:sz w:val="15"/>
                <w:szCs w:val="15"/>
              </w:rPr>
              <w:t>2022年12月</w:t>
            </w:r>
          </w:p>
        </w:tc>
        <w:tc>
          <w:tcPr>
            <w:tcW w:w="1729" w:type="dxa"/>
            <w:vMerge w:val="restart"/>
            <w:vAlign w:val="center"/>
          </w:tcPr>
          <w:p>
            <w:pPr>
              <w:widowControl/>
              <w:spacing w:line="240" w:lineRule="exact"/>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铝液电解交流电耗</w:t>
            </w:r>
          </w:p>
          <w:p>
            <w:pPr>
              <w:widowControl/>
              <w:spacing w:line="240" w:lineRule="exact"/>
              <w:jc w:val="center"/>
              <w:textAlignment w:val="center"/>
              <w:rPr>
                <w:rFonts w:hint="eastAsia" w:ascii="宋体" w:hAnsi="宋体" w:eastAsia="宋体" w:cs="宋体"/>
                <w:color w:val="000000"/>
                <w:kern w:val="0"/>
                <w:sz w:val="15"/>
                <w:szCs w:val="15"/>
              </w:rPr>
            </w:pPr>
            <w:r>
              <w:rPr>
                <w:rFonts w:hint="eastAsia" w:ascii="宋体" w:hAnsi="宋体" w:eastAsia="宋体" w:cs="宋体"/>
                <w:sz w:val="15"/>
                <w:szCs w:val="15"/>
              </w:rPr>
              <w:t>13328.87</w:t>
            </w:r>
            <w:r>
              <w:rPr>
                <w:rFonts w:hint="eastAsia" w:ascii="宋体" w:hAnsi="宋体" w:eastAsia="宋体" w:cs="宋体"/>
                <w:color w:val="000000"/>
                <w:kern w:val="0"/>
                <w:sz w:val="15"/>
                <w:szCs w:val="15"/>
              </w:rPr>
              <w:t xml:space="preserve"> (kwh/t）</w:t>
            </w:r>
          </w:p>
          <w:p>
            <w:pPr>
              <w:widowControl/>
              <w:spacing w:line="240" w:lineRule="exact"/>
              <w:jc w:val="center"/>
              <w:textAlignment w:val="center"/>
              <w:rPr>
                <w:rFonts w:ascii="宋体" w:hAnsi="宋体" w:eastAsia="宋体" w:cs="宋体"/>
                <w:sz w:val="15"/>
                <w:szCs w:val="15"/>
              </w:rPr>
            </w:pPr>
            <w:r>
              <w:rPr>
                <w:rFonts w:hint="eastAsia" w:ascii="宋体" w:hAnsi="宋体" w:eastAsia="宋体" w:cs="宋体"/>
                <w:color w:val="000000"/>
                <w:kern w:val="0"/>
                <w:sz w:val="15"/>
                <w:szCs w:val="15"/>
              </w:rPr>
              <w:t>（基准水平）</w:t>
            </w:r>
          </w:p>
          <w:p>
            <w:pPr>
              <w:widowControl/>
              <w:spacing w:line="240" w:lineRule="exact"/>
              <w:jc w:val="center"/>
              <w:textAlignment w:val="center"/>
              <w:rPr>
                <w:rFonts w:hint="eastAsia" w:ascii="宋体" w:hAnsi="宋体" w:eastAsia="宋体" w:cs="宋体"/>
                <w:color w:val="000000"/>
                <w:kern w:val="0"/>
                <w:sz w:val="15"/>
                <w:szCs w:val="15"/>
              </w:rPr>
            </w:pPr>
          </w:p>
        </w:tc>
        <w:tc>
          <w:tcPr>
            <w:tcW w:w="1895" w:type="dxa"/>
            <w:vMerge w:val="restart"/>
            <w:vAlign w:val="center"/>
          </w:tcPr>
          <w:p>
            <w:pPr>
              <w:widowControl/>
              <w:spacing w:line="240" w:lineRule="exact"/>
              <w:ind w:firstLine="150" w:firstLineChars="100"/>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铝液电解交流电耗</w:t>
            </w:r>
          </w:p>
          <w:p>
            <w:pPr>
              <w:widowControl/>
              <w:spacing w:line="240" w:lineRule="exact"/>
              <w:jc w:val="center"/>
              <w:textAlignment w:val="center"/>
              <w:rPr>
                <w:rFonts w:ascii="宋体" w:hAnsi="宋体" w:eastAsia="宋体" w:cs="宋体"/>
                <w:color w:val="000000"/>
                <w:kern w:val="0"/>
                <w:sz w:val="15"/>
                <w:szCs w:val="15"/>
              </w:rPr>
            </w:pPr>
            <w:r>
              <w:rPr>
                <w:rFonts w:ascii="宋体" w:hAnsi="宋体" w:eastAsia="宋体" w:cs="宋体"/>
                <w:color w:val="000000"/>
                <w:kern w:val="0"/>
                <w:sz w:val="15"/>
                <w:szCs w:val="15"/>
              </w:rPr>
              <w:t>13</w:t>
            </w:r>
            <w:r>
              <w:rPr>
                <w:rFonts w:hint="eastAsia" w:ascii="宋体" w:hAnsi="宋体" w:eastAsia="宋体" w:cs="宋体"/>
                <w:color w:val="000000"/>
                <w:kern w:val="0"/>
                <w:sz w:val="15"/>
                <w:szCs w:val="15"/>
              </w:rPr>
              <w:t>328</w:t>
            </w:r>
            <w:r>
              <w:rPr>
                <w:rFonts w:ascii="宋体" w:hAnsi="宋体" w:eastAsia="宋体" w:cs="宋体"/>
                <w:color w:val="000000"/>
                <w:kern w:val="0"/>
                <w:sz w:val="15"/>
                <w:szCs w:val="15"/>
              </w:rPr>
              <w:t>.8</w:t>
            </w:r>
            <w:r>
              <w:rPr>
                <w:rFonts w:hint="eastAsia" w:ascii="宋体" w:hAnsi="宋体" w:eastAsia="宋体" w:cs="宋体"/>
                <w:color w:val="000000"/>
                <w:kern w:val="0"/>
                <w:sz w:val="15"/>
                <w:szCs w:val="15"/>
              </w:rPr>
              <w:t>7(kwh/t）</w:t>
            </w:r>
          </w:p>
          <w:p>
            <w:pPr>
              <w:widowControl/>
              <w:spacing w:line="240" w:lineRule="exact"/>
              <w:jc w:val="center"/>
              <w:textAlignment w:val="center"/>
              <w:rPr>
                <w:rFonts w:hint="eastAsia" w:ascii="宋体" w:hAnsi="宋体" w:eastAsia="宋体" w:cs="宋体"/>
                <w:color w:val="FF0000"/>
                <w:kern w:val="0"/>
                <w:sz w:val="15"/>
                <w:szCs w:val="15"/>
                <w:lang w:eastAsia="zh-CN"/>
              </w:rPr>
            </w:pPr>
            <w:r>
              <w:rPr>
                <w:rFonts w:hint="eastAsia" w:ascii="宋体" w:hAnsi="宋体" w:eastAsia="宋体" w:cs="宋体"/>
                <w:color w:val="000000"/>
                <w:kern w:val="0"/>
                <w:sz w:val="15"/>
                <w:szCs w:val="15"/>
              </w:rPr>
              <w:t>（基准水平）</w:t>
            </w:r>
          </w:p>
        </w:tc>
        <w:tc>
          <w:tcPr>
            <w:tcW w:w="726" w:type="dxa"/>
            <w:vAlign w:val="center"/>
          </w:tcPr>
          <w:p>
            <w:pPr>
              <w:widowControl/>
              <w:spacing w:line="240" w:lineRule="exact"/>
              <w:jc w:val="center"/>
              <w:textAlignment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升级</w:t>
            </w:r>
          </w:p>
          <w:p>
            <w:pPr>
              <w:widowControl/>
              <w:spacing w:line="240" w:lineRule="exact"/>
              <w:jc w:val="center"/>
              <w:textAlignment w:val="center"/>
              <w:rPr>
                <w:rFonts w:hint="eastAsia" w:ascii="宋体" w:hAnsi="宋体" w:eastAsia="宋体" w:cs="Arial"/>
                <w:kern w:val="0"/>
                <w:sz w:val="15"/>
                <w:szCs w:val="15"/>
                <w:lang w:eastAsia="zh-CN"/>
              </w:rPr>
            </w:pPr>
            <w:r>
              <w:rPr>
                <w:rFonts w:hint="eastAsia" w:ascii="宋体" w:hAnsi="宋体" w:eastAsia="宋体" w:cs="宋体"/>
                <w:color w:val="000000"/>
                <w:kern w:val="0"/>
                <w:sz w:val="15"/>
                <w:szCs w:val="15"/>
              </w:rPr>
              <w:t>改造（已实施）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lang w:val="en-US" w:eastAsia="zh-CN"/>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vAlign w:val="center"/>
          </w:tcPr>
          <w:p>
            <w:pPr>
              <w:widowControl/>
              <w:spacing w:line="240" w:lineRule="exact"/>
              <w:jc w:val="center"/>
              <w:textAlignment w:val="center"/>
              <w:rPr>
                <w:rFonts w:hint="eastAsia" w:ascii="宋体" w:hAnsi="宋体" w:eastAsia="宋体" w:cs="Arial"/>
                <w:kern w:val="0"/>
                <w:sz w:val="15"/>
                <w:szCs w:val="15"/>
              </w:rPr>
            </w:pPr>
          </w:p>
        </w:tc>
        <w:tc>
          <w:tcPr>
            <w:tcW w:w="888"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olor w:val="000000"/>
                <w:sz w:val="15"/>
                <w:szCs w:val="15"/>
              </w:rPr>
            </w:pPr>
          </w:p>
        </w:tc>
        <w:tc>
          <w:tcPr>
            <w:tcW w:w="1179" w:type="dxa"/>
            <w:vAlign w:val="center"/>
          </w:tcPr>
          <w:p>
            <w:pPr>
              <w:widowControl/>
              <w:spacing w:line="240" w:lineRule="exact"/>
              <w:jc w:val="left"/>
              <w:textAlignment w:val="center"/>
              <w:rPr>
                <w:rFonts w:hint="eastAsia" w:ascii="宋体" w:hAnsi="宋体" w:eastAsia="宋体" w:cs="宋体"/>
                <w:color w:val="auto"/>
                <w:kern w:val="0"/>
                <w:sz w:val="15"/>
                <w:szCs w:val="15"/>
                <w:lang w:eastAsia="zh-CN"/>
              </w:rPr>
            </w:pPr>
            <w:r>
              <w:rPr>
                <w:rFonts w:hint="eastAsia" w:ascii="宋体" w:hAnsi="宋体" w:eastAsia="宋体" w:cs="宋体"/>
                <w:color w:val="auto"/>
                <w:kern w:val="0"/>
                <w:sz w:val="15"/>
                <w:szCs w:val="15"/>
              </w:rPr>
              <w:t>400KA电解槽大修</w:t>
            </w:r>
          </w:p>
        </w:tc>
        <w:tc>
          <w:tcPr>
            <w:tcW w:w="819" w:type="dxa"/>
            <w:vAlign w:val="center"/>
          </w:tcPr>
          <w:p>
            <w:pPr>
              <w:widowControl/>
              <w:spacing w:line="240" w:lineRule="exact"/>
              <w:jc w:val="center"/>
              <w:textAlignment w:val="center"/>
              <w:rPr>
                <w:rFonts w:hint="eastAsia" w:ascii="宋体" w:hAnsi="宋体" w:eastAsia="宋体" w:cs="宋体"/>
                <w:kern w:val="0"/>
                <w:sz w:val="15"/>
                <w:szCs w:val="15"/>
                <w:lang w:eastAsia="zh-CN"/>
              </w:rPr>
            </w:pPr>
            <w:r>
              <w:rPr>
                <w:rFonts w:hint="eastAsia" w:ascii="宋体" w:hAnsi="宋体" w:eastAsia="宋体" w:cs="Arial"/>
                <w:kern w:val="0"/>
                <w:sz w:val="15"/>
                <w:szCs w:val="15"/>
              </w:rPr>
              <w:t>1040</w:t>
            </w:r>
          </w:p>
        </w:tc>
        <w:tc>
          <w:tcPr>
            <w:tcW w:w="640" w:type="dxa"/>
            <w:vAlign w:val="center"/>
          </w:tcPr>
          <w:p>
            <w:pPr>
              <w:widowControl/>
              <w:spacing w:line="240" w:lineRule="exact"/>
              <w:jc w:val="center"/>
              <w:textAlignment w:val="center"/>
              <w:rPr>
                <w:rFonts w:hint="eastAsia" w:ascii="宋体" w:hAnsi="宋体" w:eastAsia="宋体" w:cs="宋体"/>
                <w:kern w:val="0"/>
                <w:sz w:val="15"/>
                <w:szCs w:val="15"/>
                <w:lang w:eastAsia="zh-CN"/>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hint="eastAsia" w:ascii="宋体" w:hAnsi="宋体" w:eastAsia="宋体" w:cs="宋体"/>
                <w:kern w:val="0"/>
                <w:sz w:val="15"/>
                <w:szCs w:val="15"/>
                <w:lang w:eastAsia="zh-CN"/>
              </w:rPr>
            </w:pPr>
            <w:r>
              <w:rPr>
                <w:rFonts w:hint="eastAsia" w:ascii="宋体" w:hAnsi="宋体" w:eastAsia="宋体" w:cs="宋体"/>
                <w:sz w:val="15"/>
                <w:szCs w:val="15"/>
              </w:rPr>
              <w:t>104台电解槽大修时，采用磷生铁浇铸阴极技术，并使用曲面阴极技术，降低炉底压降。</w:t>
            </w:r>
          </w:p>
        </w:tc>
        <w:tc>
          <w:tcPr>
            <w:tcW w:w="1134" w:type="dxa"/>
            <w:vAlign w:val="center"/>
          </w:tcPr>
          <w:p>
            <w:pPr>
              <w:widowControl/>
              <w:spacing w:line="240" w:lineRule="exact"/>
              <w:jc w:val="center"/>
              <w:textAlignment w:val="center"/>
              <w:rPr>
                <w:rFonts w:hint="eastAsia" w:ascii="宋体" w:hAnsi="宋体" w:eastAsia="宋体" w:cs="宋体"/>
                <w:kern w:val="0"/>
                <w:sz w:val="15"/>
                <w:szCs w:val="15"/>
                <w:lang w:eastAsia="zh-CN"/>
              </w:rPr>
            </w:pPr>
            <w:r>
              <w:rPr>
                <w:rFonts w:hint="eastAsia" w:ascii="宋体" w:hAnsi="宋体" w:eastAsia="宋体" w:cs="宋体"/>
                <w:sz w:val="15"/>
                <w:szCs w:val="15"/>
              </w:rPr>
              <w:t>2022年</w:t>
            </w:r>
          </w:p>
        </w:tc>
        <w:tc>
          <w:tcPr>
            <w:tcW w:w="1729" w:type="dxa"/>
            <w:vMerge w:val="continue"/>
            <w:vAlign w:val="center"/>
          </w:tcPr>
          <w:p>
            <w:pPr>
              <w:widowControl/>
              <w:spacing w:line="240" w:lineRule="exact"/>
              <w:jc w:val="center"/>
              <w:textAlignment w:val="center"/>
              <w:rPr>
                <w:rFonts w:hint="eastAsia" w:ascii="宋体" w:hAnsi="宋体" w:eastAsia="宋体" w:cs="宋体"/>
                <w:kern w:val="0"/>
                <w:sz w:val="15"/>
                <w:szCs w:val="15"/>
                <w:lang w:eastAsia="zh-CN"/>
              </w:rPr>
            </w:pPr>
          </w:p>
        </w:tc>
        <w:tc>
          <w:tcPr>
            <w:tcW w:w="1895" w:type="dxa"/>
            <w:vMerge w:val="continue"/>
            <w:vAlign w:val="center"/>
          </w:tcPr>
          <w:p>
            <w:pPr>
              <w:widowControl/>
              <w:spacing w:line="240" w:lineRule="exact"/>
              <w:jc w:val="center"/>
              <w:textAlignment w:val="center"/>
              <w:rPr>
                <w:rFonts w:hint="eastAsia" w:ascii="宋体" w:hAnsi="宋体" w:eastAsia="宋体" w:cs="宋体"/>
                <w:color w:val="FF0000"/>
                <w:kern w:val="0"/>
                <w:sz w:val="15"/>
                <w:szCs w:val="15"/>
                <w:lang w:eastAsia="zh-CN"/>
              </w:rPr>
            </w:pPr>
          </w:p>
        </w:tc>
        <w:tc>
          <w:tcPr>
            <w:tcW w:w="726" w:type="dxa"/>
            <w:vAlign w:val="center"/>
          </w:tcPr>
          <w:p>
            <w:pPr>
              <w:widowControl/>
              <w:spacing w:line="240" w:lineRule="exact"/>
              <w:jc w:val="center"/>
              <w:textAlignment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升级</w:t>
            </w:r>
          </w:p>
          <w:p>
            <w:pPr>
              <w:widowControl/>
              <w:spacing w:line="240" w:lineRule="exact"/>
              <w:jc w:val="center"/>
              <w:textAlignment w:val="center"/>
              <w:rPr>
                <w:rFonts w:hint="eastAsia" w:ascii="宋体" w:hAnsi="宋体" w:eastAsia="宋体" w:cs="Arial"/>
                <w:kern w:val="0"/>
                <w:sz w:val="15"/>
                <w:szCs w:val="15"/>
                <w:lang w:eastAsia="zh-CN"/>
              </w:rPr>
            </w:pPr>
            <w:r>
              <w:rPr>
                <w:rFonts w:hint="eastAsia" w:ascii="宋体" w:hAnsi="宋体" w:eastAsia="宋体" w:cs="宋体"/>
                <w:color w:val="000000"/>
                <w:kern w:val="0"/>
                <w:sz w:val="15"/>
                <w:szCs w:val="15"/>
              </w:rPr>
              <w:t>改造（已实施）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lang w:val="en-US" w:eastAsia="zh-CN"/>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vAlign w:val="center"/>
          </w:tcPr>
          <w:p>
            <w:pPr>
              <w:widowControl/>
              <w:spacing w:line="240" w:lineRule="exact"/>
              <w:jc w:val="center"/>
              <w:textAlignment w:val="center"/>
              <w:rPr>
                <w:rFonts w:hint="eastAsia" w:ascii="宋体" w:hAnsi="宋体" w:eastAsia="宋体" w:cs="Arial"/>
                <w:kern w:val="0"/>
                <w:sz w:val="15"/>
                <w:szCs w:val="15"/>
              </w:rPr>
            </w:pPr>
          </w:p>
        </w:tc>
        <w:tc>
          <w:tcPr>
            <w:tcW w:w="888"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olor w:val="000000"/>
                <w:sz w:val="15"/>
                <w:szCs w:val="15"/>
              </w:rPr>
            </w:pPr>
          </w:p>
        </w:tc>
        <w:tc>
          <w:tcPr>
            <w:tcW w:w="1179" w:type="dxa"/>
            <w:vAlign w:val="center"/>
          </w:tcPr>
          <w:p>
            <w:pPr>
              <w:widowControl/>
              <w:spacing w:line="240" w:lineRule="exact"/>
              <w:jc w:val="left"/>
              <w:textAlignment w:val="center"/>
              <w:rPr>
                <w:rFonts w:hint="eastAsia" w:ascii="宋体" w:hAnsi="宋体" w:eastAsia="宋体" w:cs="宋体"/>
                <w:color w:val="auto"/>
                <w:kern w:val="0"/>
                <w:sz w:val="15"/>
                <w:szCs w:val="15"/>
                <w:lang w:eastAsia="zh-CN"/>
              </w:rPr>
            </w:pPr>
            <w:r>
              <w:rPr>
                <w:rFonts w:hint="eastAsia" w:ascii="宋体" w:hAnsi="宋体" w:eastAsia="宋体" w:cs="宋体"/>
                <w:color w:val="auto"/>
                <w:kern w:val="0"/>
                <w:sz w:val="15"/>
                <w:szCs w:val="15"/>
              </w:rPr>
              <w:t>开槽技术应用</w:t>
            </w:r>
          </w:p>
        </w:tc>
        <w:tc>
          <w:tcPr>
            <w:tcW w:w="819" w:type="dxa"/>
            <w:vAlign w:val="center"/>
          </w:tcPr>
          <w:p>
            <w:pPr>
              <w:widowControl/>
              <w:spacing w:line="240" w:lineRule="exact"/>
              <w:jc w:val="center"/>
              <w:textAlignment w:val="center"/>
              <w:rPr>
                <w:rFonts w:hint="eastAsia" w:ascii="宋体" w:hAnsi="宋体" w:eastAsia="宋体" w:cs="宋体"/>
                <w:kern w:val="0"/>
                <w:sz w:val="15"/>
                <w:szCs w:val="15"/>
                <w:lang w:eastAsia="zh-CN"/>
              </w:rPr>
            </w:pPr>
            <w:r>
              <w:rPr>
                <w:rFonts w:hint="eastAsia" w:ascii="宋体" w:hAnsi="宋体" w:eastAsia="宋体" w:cs="宋体"/>
                <w:kern w:val="0"/>
                <w:sz w:val="15"/>
                <w:szCs w:val="15"/>
              </w:rPr>
              <w:t>750</w:t>
            </w:r>
          </w:p>
        </w:tc>
        <w:tc>
          <w:tcPr>
            <w:tcW w:w="640" w:type="dxa"/>
            <w:vAlign w:val="center"/>
          </w:tcPr>
          <w:p>
            <w:pPr>
              <w:widowControl/>
              <w:spacing w:line="240" w:lineRule="exact"/>
              <w:jc w:val="center"/>
              <w:textAlignment w:val="center"/>
              <w:rPr>
                <w:rFonts w:hint="eastAsia" w:ascii="宋体" w:hAnsi="宋体" w:eastAsia="宋体" w:cs="宋体"/>
                <w:kern w:val="0"/>
                <w:sz w:val="15"/>
                <w:szCs w:val="15"/>
                <w:lang w:eastAsia="zh-CN"/>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hint="eastAsia" w:ascii="宋体" w:hAnsi="宋体" w:eastAsia="宋体" w:cs="宋体"/>
                <w:kern w:val="0"/>
                <w:sz w:val="15"/>
                <w:szCs w:val="15"/>
                <w:lang w:eastAsia="zh-CN"/>
              </w:rPr>
            </w:pPr>
            <w:r>
              <w:rPr>
                <w:rFonts w:hint="eastAsia" w:ascii="宋体" w:hAnsi="宋体" w:eastAsia="宋体" w:cs="宋体"/>
                <w:sz w:val="15"/>
                <w:szCs w:val="15"/>
              </w:rPr>
              <w:t>通过采购开槽阳极炭块的方式，对于阳开槽阳极技术进行实验。预计该技术能够优化阳极气体排出，降低电解槽效应，优化电流排布，提高电解效率，从而降低能源消耗。</w:t>
            </w:r>
          </w:p>
        </w:tc>
        <w:tc>
          <w:tcPr>
            <w:tcW w:w="1134" w:type="dxa"/>
            <w:vAlign w:val="center"/>
          </w:tcPr>
          <w:p>
            <w:pPr>
              <w:widowControl/>
              <w:spacing w:line="140" w:lineRule="exact"/>
              <w:jc w:val="center"/>
              <w:textAlignment w:val="center"/>
              <w:rPr>
                <w:rFonts w:hint="eastAsia" w:ascii="宋体" w:hAnsi="宋体" w:eastAsia="宋体" w:cs="宋体"/>
                <w:kern w:val="0"/>
                <w:sz w:val="15"/>
                <w:szCs w:val="15"/>
                <w:lang w:eastAsia="zh-CN"/>
              </w:rPr>
            </w:pPr>
            <w:r>
              <w:rPr>
                <w:rFonts w:hint="eastAsia" w:ascii="宋体" w:hAnsi="宋体" w:eastAsia="宋体" w:cs="宋体"/>
                <w:kern w:val="0"/>
                <w:sz w:val="15"/>
                <w:szCs w:val="15"/>
              </w:rPr>
              <w:t>2022年</w:t>
            </w:r>
          </w:p>
        </w:tc>
        <w:tc>
          <w:tcPr>
            <w:tcW w:w="1729" w:type="dxa"/>
            <w:vMerge w:val="continue"/>
            <w:vAlign w:val="center"/>
          </w:tcPr>
          <w:p>
            <w:pPr>
              <w:widowControl/>
              <w:spacing w:line="240" w:lineRule="exact"/>
              <w:jc w:val="center"/>
              <w:textAlignment w:val="center"/>
              <w:rPr>
                <w:rFonts w:hint="eastAsia" w:ascii="宋体" w:hAnsi="宋体" w:eastAsia="宋体" w:cs="宋体"/>
                <w:kern w:val="0"/>
                <w:sz w:val="15"/>
                <w:szCs w:val="15"/>
                <w:lang w:eastAsia="zh-CN"/>
              </w:rPr>
            </w:pPr>
          </w:p>
        </w:tc>
        <w:tc>
          <w:tcPr>
            <w:tcW w:w="1895" w:type="dxa"/>
            <w:vMerge w:val="continue"/>
            <w:vAlign w:val="center"/>
          </w:tcPr>
          <w:p>
            <w:pPr>
              <w:widowControl/>
              <w:spacing w:line="240" w:lineRule="exact"/>
              <w:jc w:val="center"/>
              <w:textAlignment w:val="center"/>
              <w:rPr>
                <w:rFonts w:hint="eastAsia" w:ascii="宋体" w:hAnsi="宋体" w:eastAsia="宋体" w:cs="宋体"/>
                <w:color w:val="FF0000"/>
                <w:kern w:val="0"/>
                <w:sz w:val="15"/>
                <w:szCs w:val="15"/>
                <w:lang w:eastAsia="zh-CN"/>
              </w:rPr>
            </w:pPr>
          </w:p>
        </w:tc>
        <w:tc>
          <w:tcPr>
            <w:tcW w:w="726" w:type="dxa"/>
            <w:vAlign w:val="center"/>
          </w:tcPr>
          <w:p>
            <w:pPr>
              <w:widowControl/>
              <w:spacing w:line="240" w:lineRule="exact"/>
              <w:jc w:val="center"/>
              <w:textAlignment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升级</w:t>
            </w:r>
          </w:p>
          <w:p>
            <w:pPr>
              <w:widowControl/>
              <w:spacing w:line="240" w:lineRule="exact"/>
              <w:jc w:val="center"/>
              <w:textAlignment w:val="center"/>
              <w:rPr>
                <w:rFonts w:hint="eastAsia" w:ascii="宋体" w:hAnsi="宋体" w:eastAsia="宋体" w:cs="Arial"/>
                <w:kern w:val="0"/>
                <w:sz w:val="15"/>
                <w:szCs w:val="15"/>
                <w:lang w:eastAsia="zh-CN"/>
              </w:rPr>
            </w:pPr>
            <w:r>
              <w:rPr>
                <w:rFonts w:hint="eastAsia" w:ascii="宋体" w:hAnsi="宋体" w:eastAsia="宋体" w:cs="宋体"/>
                <w:color w:val="000000"/>
                <w:kern w:val="0"/>
                <w:sz w:val="15"/>
                <w:szCs w:val="15"/>
              </w:rPr>
              <w:t>改造（已实施）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378" w:type="dxa"/>
            <w:vMerge w:val="restart"/>
            <w:vAlign w:val="center"/>
          </w:tcPr>
          <w:p>
            <w:pPr>
              <w:widowControl/>
              <w:spacing w:line="240" w:lineRule="exact"/>
              <w:jc w:val="center"/>
              <w:textAlignment w:val="center"/>
              <w:rPr>
                <w:rFonts w:hint="default"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8</w:t>
            </w:r>
          </w:p>
        </w:tc>
        <w:tc>
          <w:tcPr>
            <w:tcW w:w="958" w:type="dxa"/>
            <w:vMerge w:val="restart"/>
            <w:vAlign w:val="center"/>
          </w:tcPr>
          <w:p>
            <w:pPr>
              <w:widowControl/>
              <w:spacing w:line="240" w:lineRule="exact"/>
              <w:jc w:val="center"/>
              <w:textAlignment w:val="center"/>
              <w:rPr>
                <w:rFonts w:hint="eastAsia" w:ascii="宋体" w:hAnsi="宋体" w:eastAsia="宋体" w:cs="宋体"/>
                <w:sz w:val="15"/>
                <w:szCs w:val="15"/>
                <w:lang w:eastAsia="zh-CN"/>
              </w:rPr>
            </w:pPr>
            <w:r>
              <w:rPr>
                <w:rFonts w:hint="eastAsia" w:ascii="宋体" w:hAnsi="宋体" w:eastAsia="宋体" w:cs="宋体"/>
                <w:sz w:val="15"/>
                <w:szCs w:val="15"/>
                <w:lang w:eastAsia="zh-CN"/>
              </w:rPr>
              <w:t>电解铝</w:t>
            </w:r>
          </w:p>
        </w:tc>
        <w:tc>
          <w:tcPr>
            <w:tcW w:w="1223" w:type="dxa"/>
            <w:vMerge w:val="restart"/>
            <w:vAlign w:val="center"/>
          </w:tcPr>
          <w:p>
            <w:pPr>
              <w:widowControl/>
              <w:spacing w:line="240" w:lineRule="exact"/>
              <w:jc w:val="center"/>
              <w:textAlignment w:val="center"/>
              <w:rPr>
                <w:rFonts w:hint="eastAsia" w:ascii="宋体" w:hAnsi="宋体" w:eastAsia="宋体" w:cs="Arial"/>
                <w:kern w:val="0"/>
                <w:sz w:val="15"/>
                <w:szCs w:val="15"/>
              </w:rPr>
            </w:pPr>
            <w:r>
              <w:rPr>
                <w:rFonts w:hint="eastAsia" w:ascii="宋体" w:hAnsi="宋体" w:eastAsia="宋体" w:cs="Arial"/>
                <w:kern w:val="0"/>
                <w:sz w:val="15"/>
                <w:szCs w:val="15"/>
              </w:rPr>
              <w:t>青海海源绿能铝业有限公司</w:t>
            </w:r>
          </w:p>
        </w:tc>
        <w:tc>
          <w:tcPr>
            <w:tcW w:w="888" w:type="dxa"/>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olor w:val="000000"/>
                <w:sz w:val="15"/>
                <w:szCs w:val="15"/>
              </w:rPr>
            </w:pPr>
            <w:r>
              <w:rPr>
                <w:rFonts w:hint="eastAsia" w:ascii="宋体" w:hAnsi="宋体" w:eastAsia="宋体"/>
                <w:color w:val="000000"/>
                <w:sz w:val="15"/>
                <w:szCs w:val="15"/>
              </w:rPr>
              <w:t>青海省西宁市甘河工业园区</w:t>
            </w:r>
          </w:p>
        </w:tc>
        <w:tc>
          <w:tcPr>
            <w:tcW w:w="1179" w:type="dxa"/>
            <w:vAlign w:val="center"/>
          </w:tcPr>
          <w:p>
            <w:pPr>
              <w:widowControl/>
              <w:spacing w:line="240" w:lineRule="exact"/>
              <w:jc w:val="left"/>
              <w:textAlignment w:val="center"/>
              <w:rPr>
                <w:rFonts w:hint="eastAsia" w:ascii="宋体" w:hAnsi="宋体" w:eastAsia="宋体" w:cs="宋体"/>
                <w:color w:val="auto"/>
                <w:kern w:val="0"/>
                <w:sz w:val="15"/>
                <w:szCs w:val="15"/>
                <w:lang w:eastAsia="zh-CN"/>
              </w:rPr>
            </w:pPr>
            <w:r>
              <w:rPr>
                <w:rFonts w:ascii="宋体" w:hAnsi="宋体" w:eastAsia="宋体" w:cs="宋体"/>
                <w:color w:val="auto"/>
                <w:kern w:val="0"/>
                <w:sz w:val="15"/>
                <w:szCs w:val="15"/>
              </w:rPr>
              <w:t>阳极喷涂技术应用</w:t>
            </w:r>
          </w:p>
        </w:tc>
        <w:tc>
          <w:tcPr>
            <w:tcW w:w="819" w:type="dxa"/>
            <w:vAlign w:val="center"/>
          </w:tcPr>
          <w:p>
            <w:pPr>
              <w:widowControl/>
              <w:spacing w:line="240" w:lineRule="exact"/>
              <w:jc w:val="center"/>
              <w:textAlignment w:val="center"/>
              <w:rPr>
                <w:rFonts w:hint="eastAsia" w:ascii="宋体" w:hAnsi="宋体" w:eastAsia="宋体" w:cs="宋体"/>
                <w:kern w:val="0"/>
                <w:sz w:val="15"/>
                <w:szCs w:val="15"/>
                <w:lang w:eastAsia="zh-CN"/>
              </w:rPr>
            </w:pPr>
            <w:r>
              <w:rPr>
                <w:rFonts w:hint="eastAsia" w:ascii="宋体" w:hAnsi="宋体" w:eastAsia="宋体" w:cs="宋体"/>
                <w:sz w:val="15"/>
                <w:szCs w:val="15"/>
              </w:rPr>
              <w:t>50</w:t>
            </w:r>
          </w:p>
        </w:tc>
        <w:tc>
          <w:tcPr>
            <w:tcW w:w="640" w:type="dxa"/>
            <w:vAlign w:val="center"/>
          </w:tcPr>
          <w:p>
            <w:pPr>
              <w:widowControl/>
              <w:spacing w:line="240" w:lineRule="exact"/>
              <w:jc w:val="center"/>
              <w:textAlignment w:val="center"/>
              <w:rPr>
                <w:rFonts w:hint="eastAsia" w:ascii="宋体" w:hAnsi="宋体" w:eastAsia="宋体" w:cs="宋体"/>
                <w:kern w:val="0"/>
                <w:sz w:val="15"/>
                <w:szCs w:val="15"/>
                <w:lang w:eastAsia="zh-CN"/>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hint="eastAsia" w:ascii="宋体" w:hAnsi="宋体" w:eastAsia="宋体" w:cs="宋体"/>
                <w:kern w:val="0"/>
                <w:sz w:val="15"/>
                <w:szCs w:val="15"/>
                <w:lang w:eastAsia="zh-CN"/>
              </w:rPr>
            </w:pPr>
            <w:r>
              <w:rPr>
                <w:rFonts w:hint="eastAsia" w:ascii="宋体" w:hAnsi="宋体" w:eastAsia="宋体" w:cs="宋体"/>
                <w:sz w:val="15"/>
                <w:szCs w:val="15"/>
              </w:rPr>
              <w:t>在阳极上喷涂特质涂料，延长换极周期，降低电解槽电耗。</w:t>
            </w:r>
          </w:p>
        </w:tc>
        <w:tc>
          <w:tcPr>
            <w:tcW w:w="1134" w:type="dxa"/>
            <w:vAlign w:val="center"/>
          </w:tcPr>
          <w:p>
            <w:pPr>
              <w:widowControl/>
              <w:spacing w:line="140" w:lineRule="exact"/>
              <w:jc w:val="center"/>
              <w:textAlignment w:val="center"/>
              <w:rPr>
                <w:rFonts w:hint="eastAsia" w:ascii="宋体" w:hAnsi="宋体" w:eastAsia="宋体" w:cs="宋体"/>
                <w:kern w:val="0"/>
                <w:sz w:val="15"/>
                <w:szCs w:val="15"/>
                <w:lang w:eastAsia="zh-CN"/>
              </w:rPr>
            </w:pPr>
            <w:r>
              <w:rPr>
                <w:rFonts w:hint="eastAsia" w:ascii="宋体" w:hAnsi="宋体" w:eastAsia="宋体" w:cs="宋体"/>
                <w:kern w:val="0"/>
                <w:sz w:val="15"/>
                <w:szCs w:val="15"/>
              </w:rPr>
              <w:t>2022年</w:t>
            </w:r>
          </w:p>
        </w:tc>
        <w:tc>
          <w:tcPr>
            <w:tcW w:w="1729" w:type="dxa"/>
            <w:vMerge w:val="restart"/>
            <w:vAlign w:val="center"/>
          </w:tcPr>
          <w:p>
            <w:pPr>
              <w:widowControl/>
              <w:spacing w:line="240" w:lineRule="exact"/>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铝液电解交流电耗</w:t>
            </w:r>
          </w:p>
          <w:p>
            <w:pPr>
              <w:widowControl/>
              <w:spacing w:line="240" w:lineRule="exact"/>
              <w:jc w:val="center"/>
              <w:textAlignment w:val="center"/>
              <w:rPr>
                <w:rFonts w:hint="eastAsia" w:ascii="宋体" w:hAnsi="宋体" w:eastAsia="宋体" w:cs="宋体"/>
                <w:color w:val="000000"/>
                <w:kern w:val="0"/>
                <w:sz w:val="15"/>
                <w:szCs w:val="15"/>
              </w:rPr>
            </w:pPr>
            <w:r>
              <w:rPr>
                <w:rFonts w:hint="eastAsia" w:ascii="宋体" w:hAnsi="宋体" w:eastAsia="宋体" w:cs="宋体"/>
                <w:sz w:val="15"/>
                <w:szCs w:val="15"/>
              </w:rPr>
              <w:t>13328.87</w:t>
            </w:r>
            <w:r>
              <w:rPr>
                <w:rFonts w:hint="eastAsia" w:ascii="宋体" w:hAnsi="宋体" w:eastAsia="宋体" w:cs="宋体"/>
                <w:color w:val="000000"/>
                <w:kern w:val="0"/>
                <w:sz w:val="15"/>
                <w:szCs w:val="15"/>
              </w:rPr>
              <w:t xml:space="preserve"> (kwh/t）</w:t>
            </w:r>
          </w:p>
          <w:p>
            <w:pPr>
              <w:widowControl/>
              <w:spacing w:line="240" w:lineRule="exact"/>
              <w:jc w:val="center"/>
              <w:textAlignment w:val="center"/>
              <w:rPr>
                <w:rFonts w:hint="eastAsia" w:ascii="宋体" w:hAnsi="宋体" w:eastAsia="宋体" w:cs="宋体"/>
                <w:kern w:val="0"/>
                <w:sz w:val="15"/>
                <w:szCs w:val="15"/>
                <w:lang w:eastAsia="zh-CN"/>
              </w:rPr>
            </w:pPr>
            <w:r>
              <w:rPr>
                <w:rFonts w:hint="eastAsia" w:ascii="宋体" w:hAnsi="宋体" w:eastAsia="宋体" w:cs="宋体"/>
                <w:color w:val="000000"/>
                <w:kern w:val="0"/>
                <w:sz w:val="15"/>
                <w:szCs w:val="15"/>
              </w:rPr>
              <w:t>（基准水平）</w:t>
            </w:r>
          </w:p>
        </w:tc>
        <w:tc>
          <w:tcPr>
            <w:tcW w:w="1895" w:type="dxa"/>
            <w:vAlign w:val="center"/>
          </w:tcPr>
          <w:p>
            <w:pPr>
              <w:widowControl/>
              <w:spacing w:line="240" w:lineRule="exact"/>
              <w:jc w:val="center"/>
              <w:textAlignment w:val="center"/>
              <w:rPr>
                <w:rFonts w:hint="eastAsia" w:ascii="宋体" w:hAnsi="宋体" w:eastAsia="宋体" w:cs="宋体"/>
                <w:color w:val="FF0000"/>
                <w:kern w:val="0"/>
                <w:sz w:val="15"/>
                <w:szCs w:val="15"/>
                <w:lang w:eastAsia="zh-CN"/>
              </w:rPr>
            </w:pPr>
          </w:p>
        </w:tc>
        <w:tc>
          <w:tcPr>
            <w:tcW w:w="726" w:type="dxa"/>
            <w:vAlign w:val="center"/>
          </w:tcPr>
          <w:p>
            <w:pPr>
              <w:widowControl/>
              <w:spacing w:line="240" w:lineRule="exact"/>
              <w:jc w:val="center"/>
              <w:textAlignment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升级</w:t>
            </w:r>
          </w:p>
          <w:p>
            <w:pPr>
              <w:widowControl/>
              <w:spacing w:line="240" w:lineRule="exact"/>
              <w:jc w:val="center"/>
              <w:textAlignment w:val="center"/>
              <w:rPr>
                <w:rFonts w:hint="eastAsia" w:ascii="宋体" w:hAnsi="宋体" w:eastAsia="宋体" w:cs="Arial"/>
                <w:kern w:val="0"/>
                <w:sz w:val="15"/>
                <w:szCs w:val="15"/>
                <w:lang w:eastAsia="zh-CN"/>
              </w:rPr>
            </w:pPr>
            <w:r>
              <w:rPr>
                <w:rFonts w:hint="eastAsia" w:ascii="宋体" w:hAnsi="宋体" w:eastAsia="宋体" w:cs="宋体"/>
                <w:color w:val="000000"/>
                <w:kern w:val="0"/>
                <w:sz w:val="15"/>
                <w:szCs w:val="15"/>
              </w:rPr>
              <w:t>改造（已实施）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lang w:val="en-US" w:eastAsia="zh-CN"/>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vAlign w:val="center"/>
          </w:tcPr>
          <w:p>
            <w:pPr>
              <w:widowControl/>
              <w:spacing w:line="240" w:lineRule="exact"/>
              <w:jc w:val="center"/>
              <w:textAlignment w:val="center"/>
              <w:rPr>
                <w:rFonts w:hint="eastAsia" w:ascii="宋体" w:hAnsi="宋体" w:eastAsia="宋体" w:cs="Arial"/>
                <w:kern w:val="0"/>
                <w:sz w:val="15"/>
                <w:szCs w:val="15"/>
              </w:rPr>
            </w:pPr>
          </w:p>
        </w:tc>
        <w:tc>
          <w:tcPr>
            <w:tcW w:w="888"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olor w:val="000000"/>
                <w:sz w:val="15"/>
                <w:szCs w:val="15"/>
              </w:rPr>
            </w:pPr>
          </w:p>
        </w:tc>
        <w:tc>
          <w:tcPr>
            <w:tcW w:w="1179" w:type="dxa"/>
            <w:vAlign w:val="center"/>
          </w:tcPr>
          <w:p>
            <w:pPr>
              <w:widowControl/>
              <w:spacing w:line="240" w:lineRule="exact"/>
              <w:jc w:val="left"/>
              <w:textAlignment w:val="center"/>
              <w:rPr>
                <w:rFonts w:hint="eastAsia" w:ascii="宋体" w:hAnsi="宋体" w:eastAsia="宋体" w:cs="宋体"/>
                <w:color w:val="auto"/>
                <w:kern w:val="0"/>
                <w:sz w:val="15"/>
                <w:szCs w:val="15"/>
                <w:lang w:eastAsia="zh-CN"/>
              </w:rPr>
            </w:pPr>
            <w:r>
              <w:rPr>
                <w:rFonts w:ascii="宋体" w:hAnsi="宋体" w:eastAsia="宋体" w:cs="宋体"/>
                <w:color w:val="auto"/>
                <w:kern w:val="0"/>
                <w:sz w:val="15"/>
                <w:szCs w:val="15"/>
              </w:rPr>
              <w:t>槽控机控制系统升级改造项目</w:t>
            </w:r>
          </w:p>
        </w:tc>
        <w:tc>
          <w:tcPr>
            <w:tcW w:w="819" w:type="dxa"/>
            <w:vAlign w:val="center"/>
          </w:tcPr>
          <w:p>
            <w:pPr>
              <w:widowControl/>
              <w:spacing w:line="240" w:lineRule="exact"/>
              <w:jc w:val="center"/>
              <w:textAlignment w:val="center"/>
              <w:rPr>
                <w:rFonts w:hint="eastAsia" w:ascii="宋体" w:hAnsi="宋体" w:eastAsia="宋体" w:cs="宋体"/>
                <w:kern w:val="0"/>
                <w:sz w:val="15"/>
                <w:szCs w:val="15"/>
                <w:lang w:eastAsia="zh-CN"/>
              </w:rPr>
            </w:pPr>
            <w:r>
              <w:rPr>
                <w:rFonts w:hint="eastAsia" w:ascii="宋体" w:hAnsi="宋体" w:eastAsia="宋体" w:cs="宋体"/>
                <w:kern w:val="0"/>
                <w:sz w:val="15"/>
                <w:szCs w:val="15"/>
              </w:rPr>
              <w:t>500</w:t>
            </w:r>
          </w:p>
        </w:tc>
        <w:tc>
          <w:tcPr>
            <w:tcW w:w="640" w:type="dxa"/>
            <w:vAlign w:val="center"/>
          </w:tcPr>
          <w:p>
            <w:pPr>
              <w:widowControl/>
              <w:spacing w:line="240" w:lineRule="exact"/>
              <w:jc w:val="center"/>
              <w:textAlignment w:val="center"/>
              <w:rPr>
                <w:rFonts w:hint="eastAsia" w:ascii="宋体" w:hAnsi="宋体" w:eastAsia="宋体" w:cs="宋体"/>
                <w:kern w:val="0"/>
                <w:sz w:val="15"/>
                <w:szCs w:val="15"/>
                <w:lang w:eastAsia="zh-CN"/>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hint="eastAsia" w:ascii="宋体" w:hAnsi="宋体" w:eastAsia="宋体" w:cs="宋体"/>
                <w:kern w:val="0"/>
                <w:sz w:val="15"/>
                <w:szCs w:val="15"/>
                <w:lang w:eastAsia="zh-CN"/>
              </w:rPr>
            </w:pPr>
            <w:r>
              <w:rPr>
                <w:rFonts w:hint="eastAsia" w:ascii="宋体" w:hAnsi="宋体" w:eastAsia="宋体" w:cs="宋体"/>
                <w:sz w:val="15"/>
                <w:szCs w:val="15"/>
              </w:rPr>
              <w:t>对电解一、二车间6个工区共计208台电解控制系统升级改造，提供可行的槽况预判分析和数据分析。</w:t>
            </w:r>
          </w:p>
        </w:tc>
        <w:tc>
          <w:tcPr>
            <w:tcW w:w="1134" w:type="dxa"/>
            <w:vAlign w:val="center"/>
          </w:tcPr>
          <w:p>
            <w:pPr>
              <w:widowControl/>
              <w:spacing w:line="140" w:lineRule="exact"/>
              <w:jc w:val="center"/>
              <w:textAlignment w:val="center"/>
              <w:rPr>
                <w:rFonts w:hint="eastAsia" w:ascii="宋体" w:hAnsi="宋体" w:eastAsia="宋体" w:cs="宋体"/>
                <w:kern w:val="0"/>
                <w:sz w:val="15"/>
                <w:szCs w:val="15"/>
                <w:lang w:eastAsia="zh-CN"/>
              </w:rPr>
            </w:pPr>
            <w:r>
              <w:rPr>
                <w:rFonts w:hint="eastAsia" w:ascii="宋体" w:hAnsi="宋体" w:eastAsia="宋体" w:cs="宋体"/>
                <w:kern w:val="0"/>
                <w:sz w:val="15"/>
                <w:szCs w:val="15"/>
              </w:rPr>
              <w:t>2023年</w:t>
            </w:r>
          </w:p>
        </w:tc>
        <w:tc>
          <w:tcPr>
            <w:tcW w:w="1729" w:type="dxa"/>
            <w:vMerge w:val="continue"/>
            <w:vAlign w:val="center"/>
          </w:tcPr>
          <w:p>
            <w:pPr>
              <w:widowControl/>
              <w:spacing w:line="240" w:lineRule="exact"/>
              <w:jc w:val="center"/>
              <w:textAlignment w:val="center"/>
              <w:rPr>
                <w:rFonts w:hint="eastAsia" w:ascii="宋体" w:hAnsi="宋体" w:eastAsia="宋体" w:cs="宋体"/>
                <w:kern w:val="0"/>
                <w:sz w:val="15"/>
                <w:szCs w:val="15"/>
                <w:lang w:eastAsia="zh-CN"/>
              </w:rPr>
            </w:pPr>
          </w:p>
        </w:tc>
        <w:tc>
          <w:tcPr>
            <w:tcW w:w="1895" w:type="dxa"/>
            <w:vMerge w:val="restart"/>
            <w:vAlign w:val="center"/>
          </w:tcPr>
          <w:p>
            <w:pPr>
              <w:widowControl/>
              <w:spacing w:line="240" w:lineRule="exact"/>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铝液电解交流电耗</w:t>
            </w:r>
          </w:p>
          <w:p>
            <w:pPr>
              <w:widowControl/>
              <w:spacing w:line="240" w:lineRule="exact"/>
              <w:jc w:val="center"/>
              <w:textAlignment w:val="center"/>
              <w:rPr>
                <w:rFonts w:hint="eastAsia" w:ascii="宋体" w:hAnsi="宋体" w:eastAsia="宋体" w:cs="宋体"/>
                <w:color w:val="000000"/>
                <w:kern w:val="0"/>
                <w:sz w:val="15"/>
                <w:szCs w:val="15"/>
              </w:rPr>
            </w:pPr>
            <w:r>
              <w:rPr>
                <w:rFonts w:hint="eastAsia" w:ascii="宋体" w:hAnsi="宋体" w:eastAsia="宋体" w:cs="宋体"/>
                <w:kern w:val="0"/>
                <w:sz w:val="15"/>
                <w:szCs w:val="15"/>
              </w:rPr>
              <w:t>13228</w:t>
            </w:r>
            <w:r>
              <w:rPr>
                <w:rFonts w:hint="eastAsia" w:ascii="宋体" w:hAnsi="宋体" w:eastAsia="宋体" w:cs="宋体"/>
                <w:color w:val="000000"/>
                <w:kern w:val="0"/>
                <w:sz w:val="15"/>
                <w:szCs w:val="15"/>
              </w:rPr>
              <w:t xml:space="preserve"> (kwh/t）       </w:t>
            </w:r>
          </w:p>
          <w:p>
            <w:pPr>
              <w:widowControl/>
              <w:spacing w:line="240" w:lineRule="exact"/>
              <w:jc w:val="center"/>
              <w:textAlignment w:val="center"/>
              <w:rPr>
                <w:rFonts w:hint="eastAsia" w:ascii="宋体" w:hAnsi="宋体" w:eastAsia="宋体" w:cs="宋体"/>
                <w:color w:val="FF0000"/>
                <w:kern w:val="0"/>
                <w:sz w:val="15"/>
                <w:szCs w:val="15"/>
                <w:lang w:eastAsia="zh-CN"/>
              </w:rPr>
            </w:pPr>
            <w:r>
              <w:rPr>
                <w:rFonts w:hint="eastAsia" w:ascii="宋体" w:hAnsi="宋体" w:eastAsia="宋体" w:cs="宋体"/>
                <w:color w:val="000000"/>
                <w:kern w:val="0"/>
                <w:sz w:val="15"/>
                <w:szCs w:val="15"/>
              </w:rPr>
              <w:t>（基准水平）</w:t>
            </w:r>
          </w:p>
        </w:tc>
        <w:tc>
          <w:tcPr>
            <w:tcW w:w="726" w:type="dxa"/>
            <w:vAlign w:val="center"/>
          </w:tcPr>
          <w:p>
            <w:pPr>
              <w:widowControl/>
              <w:spacing w:line="240" w:lineRule="exact"/>
              <w:jc w:val="center"/>
              <w:textAlignment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升级</w:t>
            </w:r>
          </w:p>
          <w:p>
            <w:pPr>
              <w:widowControl/>
              <w:spacing w:line="240" w:lineRule="exact"/>
              <w:jc w:val="center"/>
              <w:textAlignment w:val="center"/>
              <w:rPr>
                <w:rFonts w:hint="eastAsia" w:ascii="宋体" w:hAnsi="宋体" w:eastAsia="宋体" w:cs="Arial"/>
                <w:kern w:val="0"/>
                <w:sz w:val="15"/>
                <w:szCs w:val="15"/>
                <w:lang w:eastAsia="zh-CN"/>
              </w:rPr>
            </w:pPr>
            <w:r>
              <w:rPr>
                <w:rFonts w:hint="eastAsia" w:ascii="宋体" w:hAnsi="宋体" w:eastAsia="宋体" w:cs="宋体"/>
                <w:color w:val="000000"/>
                <w:kern w:val="0"/>
                <w:sz w:val="15"/>
                <w:szCs w:val="15"/>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lang w:val="en-US" w:eastAsia="zh-CN"/>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vAlign w:val="center"/>
          </w:tcPr>
          <w:p>
            <w:pPr>
              <w:widowControl/>
              <w:spacing w:line="240" w:lineRule="exact"/>
              <w:jc w:val="center"/>
              <w:textAlignment w:val="center"/>
              <w:rPr>
                <w:rFonts w:hint="eastAsia" w:ascii="宋体" w:hAnsi="宋体" w:eastAsia="宋体" w:cs="Arial"/>
                <w:kern w:val="0"/>
                <w:sz w:val="15"/>
                <w:szCs w:val="15"/>
              </w:rPr>
            </w:pPr>
          </w:p>
        </w:tc>
        <w:tc>
          <w:tcPr>
            <w:tcW w:w="888"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olor w:val="000000"/>
                <w:sz w:val="15"/>
                <w:szCs w:val="15"/>
              </w:rPr>
            </w:pPr>
          </w:p>
        </w:tc>
        <w:tc>
          <w:tcPr>
            <w:tcW w:w="1179" w:type="dxa"/>
            <w:vAlign w:val="center"/>
          </w:tcPr>
          <w:p>
            <w:pPr>
              <w:widowControl/>
              <w:spacing w:line="240" w:lineRule="exact"/>
              <w:jc w:val="left"/>
              <w:textAlignment w:val="center"/>
              <w:rPr>
                <w:rFonts w:hint="eastAsia" w:ascii="宋体" w:hAnsi="宋体" w:eastAsia="宋体" w:cs="宋体"/>
                <w:color w:val="auto"/>
                <w:kern w:val="0"/>
                <w:sz w:val="15"/>
                <w:szCs w:val="15"/>
                <w:lang w:eastAsia="zh-CN"/>
              </w:rPr>
            </w:pPr>
            <w:r>
              <w:rPr>
                <w:rFonts w:hint="eastAsia" w:ascii="宋体" w:hAnsi="宋体" w:eastAsia="宋体" w:cs="宋体"/>
                <w:color w:val="auto"/>
                <w:kern w:val="0"/>
                <w:sz w:val="15"/>
                <w:szCs w:val="15"/>
              </w:rPr>
              <w:t>新建开槽设备项目</w:t>
            </w:r>
          </w:p>
        </w:tc>
        <w:tc>
          <w:tcPr>
            <w:tcW w:w="819" w:type="dxa"/>
            <w:vAlign w:val="center"/>
          </w:tcPr>
          <w:p>
            <w:pPr>
              <w:widowControl/>
              <w:spacing w:line="240" w:lineRule="exact"/>
              <w:jc w:val="center"/>
              <w:textAlignment w:val="center"/>
              <w:rPr>
                <w:rFonts w:hint="eastAsia" w:ascii="宋体" w:hAnsi="宋体" w:eastAsia="宋体" w:cs="宋体"/>
                <w:kern w:val="0"/>
                <w:sz w:val="15"/>
                <w:szCs w:val="15"/>
                <w:lang w:eastAsia="zh-CN"/>
              </w:rPr>
            </w:pPr>
            <w:r>
              <w:rPr>
                <w:rFonts w:hint="eastAsia" w:ascii="宋体" w:hAnsi="宋体" w:eastAsia="宋体" w:cs="宋体"/>
                <w:kern w:val="0"/>
                <w:sz w:val="15"/>
                <w:szCs w:val="15"/>
              </w:rPr>
              <w:t>360</w:t>
            </w:r>
          </w:p>
        </w:tc>
        <w:tc>
          <w:tcPr>
            <w:tcW w:w="640" w:type="dxa"/>
            <w:vAlign w:val="center"/>
          </w:tcPr>
          <w:p>
            <w:pPr>
              <w:widowControl/>
              <w:spacing w:line="240" w:lineRule="exact"/>
              <w:jc w:val="center"/>
              <w:textAlignment w:val="center"/>
              <w:rPr>
                <w:rFonts w:hint="eastAsia" w:ascii="宋体" w:hAnsi="宋体" w:eastAsia="宋体" w:cs="宋体"/>
                <w:kern w:val="0"/>
                <w:sz w:val="15"/>
                <w:szCs w:val="15"/>
                <w:lang w:eastAsia="zh-CN"/>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hint="eastAsia" w:ascii="宋体" w:hAnsi="宋体" w:eastAsia="宋体" w:cs="宋体"/>
                <w:kern w:val="0"/>
                <w:sz w:val="15"/>
                <w:szCs w:val="15"/>
                <w:lang w:eastAsia="zh-CN"/>
              </w:rPr>
            </w:pPr>
            <w:r>
              <w:rPr>
                <w:rFonts w:hint="eastAsia" w:ascii="宋体" w:hAnsi="宋体" w:eastAsia="宋体" w:cs="宋体"/>
                <w:sz w:val="15"/>
                <w:szCs w:val="15"/>
              </w:rPr>
              <w:t>在焙烧阳极炭块库改造安装2台阳极底部开槽设备，增强电解槽生产过程中阳极气体排出，降低运行电耗。</w:t>
            </w:r>
          </w:p>
        </w:tc>
        <w:tc>
          <w:tcPr>
            <w:tcW w:w="1134" w:type="dxa"/>
            <w:vAlign w:val="center"/>
          </w:tcPr>
          <w:p>
            <w:pPr>
              <w:widowControl/>
              <w:spacing w:line="140" w:lineRule="exact"/>
              <w:jc w:val="center"/>
              <w:textAlignment w:val="center"/>
              <w:rPr>
                <w:rFonts w:hint="eastAsia" w:ascii="宋体" w:hAnsi="宋体" w:eastAsia="宋体" w:cs="宋体"/>
                <w:kern w:val="0"/>
                <w:sz w:val="15"/>
                <w:szCs w:val="15"/>
                <w:lang w:eastAsia="zh-CN"/>
              </w:rPr>
            </w:pPr>
            <w:r>
              <w:rPr>
                <w:rFonts w:hint="eastAsia" w:ascii="宋体" w:hAnsi="宋体" w:eastAsia="宋体" w:cs="宋体"/>
                <w:kern w:val="0"/>
                <w:sz w:val="15"/>
                <w:szCs w:val="15"/>
              </w:rPr>
              <w:t>2023年</w:t>
            </w:r>
          </w:p>
        </w:tc>
        <w:tc>
          <w:tcPr>
            <w:tcW w:w="1729" w:type="dxa"/>
            <w:vMerge w:val="continue"/>
            <w:vAlign w:val="center"/>
          </w:tcPr>
          <w:p>
            <w:pPr>
              <w:widowControl/>
              <w:spacing w:line="240" w:lineRule="exact"/>
              <w:jc w:val="center"/>
              <w:textAlignment w:val="center"/>
              <w:rPr>
                <w:rFonts w:hint="eastAsia" w:ascii="宋体" w:hAnsi="宋体" w:eastAsia="宋体" w:cs="宋体"/>
                <w:kern w:val="0"/>
                <w:sz w:val="15"/>
                <w:szCs w:val="15"/>
                <w:lang w:eastAsia="zh-CN"/>
              </w:rPr>
            </w:pPr>
          </w:p>
        </w:tc>
        <w:tc>
          <w:tcPr>
            <w:tcW w:w="1895" w:type="dxa"/>
            <w:vMerge w:val="continue"/>
            <w:vAlign w:val="center"/>
          </w:tcPr>
          <w:p>
            <w:pPr>
              <w:widowControl/>
              <w:spacing w:line="240" w:lineRule="exact"/>
              <w:jc w:val="center"/>
              <w:textAlignment w:val="center"/>
              <w:rPr>
                <w:rFonts w:hint="eastAsia" w:ascii="宋体" w:hAnsi="宋体" w:eastAsia="宋体" w:cs="宋体"/>
                <w:color w:val="FF0000"/>
                <w:kern w:val="0"/>
                <w:sz w:val="15"/>
                <w:szCs w:val="15"/>
                <w:lang w:eastAsia="zh-CN"/>
              </w:rPr>
            </w:pPr>
          </w:p>
        </w:tc>
        <w:tc>
          <w:tcPr>
            <w:tcW w:w="726" w:type="dxa"/>
            <w:vAlign w:val="center"/>
          </w:tcPr>
          <w:p>
            <w:pPr>
              <w:widowControl/>
              <w:spacing w:line="240" w:lineRule="exact"/>
              <w:jc w:val="center"/>
              <w:textAlignment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升级</w:t>
            </w:r>
          </w:p>
          <w:p>
            <w:pPr>
              <w:widowControl/>
              <w:spacing w:line="240" w:lineRule="exact"/>
              <w:jc w:val="center"/>
              <w:textAlignment w:val="center"/>
              <w:rPr>
                <w:rFonts w:hint="eastAsia" w:ascii="宋体" w:hAnsi="宋体" w:eastAsia="宋体" w:cs="Arial"/>
                <w:kern w:val="0"/>
                <w:sz w:val="15"/>
                <w:szCs w:val="15"/>
                <w:lang w:eastAsia="zh-CN"/>
              </w:rPr>
            </w:pPr>
            <w:r>
              <w:rPr>
                <w:rFonts w:hint="eastAsia" w:ascii="宋体" w:hAnsi="宋体" w:eastAsia="宋体" w:cs="宋体"/>
                <w:color w:val="000000"/>
                <w:kern w:val="0"/>
                <w:sz w:val="15"/>
                <w:szCs w:val="15"/>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lang w:val="en-US" w:eastAsia="zh-CN"/>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vAlign w:val="center"/>
          </w:tcPr>
          <w:p>
            <w:pPr>
              <w:widowControl/>
              <w:spacing w:line="240" w:lineRule="exact"/>
              <w:jc w:val="center"/>
              <w:textAlignment w:val="center"/>
              <w:rPr>
                <w:rFonts w:hint="eastAsia" w:ascii="宋体" w:hAnsi="宋体" w:eastAsia="宋体" w:cs="Arial"/>
                <w:kern w:val="0"/>
                <w:sz w:val="15"/>
                <w:szCs w:val="15"/>
              </w:rPr>
            </w:pPr>
          </w:p>
        </w:tc>
        <w:tc>
          <w:tcPr>
            <w:tcW w:w="888"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olor w:val="000000"/>
                <w:sz w:val="15"/>
                <w:szCs w:val="15"/>
              </w:rPr>
            </w:pPr>
          </w:p>
        </w:tc>
        <w:tc>
          <w:tcPr>
            <w:tcW w:w="1179" w:type="dxa"/>
            <w:vAlign w:val="center"/>
          </w:tcPr>
          <w:p>
            <w:pPr>
              <w:widowControl/>
              <w:spacing w:line="240" w:lineRule="exact"/>
              <w:jc w:val="left"/>
              <w:textAlignment w:val="center"/>
              <w:rPr>
                <w:rFonts w:hint="eastAsia" w:ascii="宋体" w:hAnsi="宋体" w:eastAsia="宋体" w:cs="宋体"/>
                <w:color w:val="auto"/>
                <w:kern w:val="0"/>
                <w:sz w:val="15"/>
                <w:szCs w:val="15"/>
                <w:lang w:eastAsia="zh-CN"/>
              </w:rPr>
            </w:pPr>
            <w:r>
              <w:rPr>
                <w:rFonts w:ascii="宋体" w:hAnsi="宋体" w:eastAsia="宋体" w:cs="宋体"/>
                <w:color w:val="auto"/>
                <w:kern w:val="0"/>
                <w:sz w:val="15"/>
                <w:szCs w:val="15"/>
              </w:rPr>
              <w:t>4</w:t>
            </w:r>
            <w:r>
              <w:rPr>
                <w:rFonts w:hint="eastAsia" w:ascii="宋体" w:hAnsi="宋体" w:eastAsia="宋体" w:cs="宋体"/>
                <w:color w:val="auto"/>
                <w:kern w:val="0"/>
                <w:sz w:val="15"/>
                <w:szCs w:val="15"/>
              </w:rPr>
              <w:t>0</w:t>
            </w:r>
            <w:r>
              <w:rPr>
                <w:rFonts w:ascii="宋体" w:hAnsi="宋体" w:eastAsia="宋体" w:cs="宋体"/>
                <w:color w:val="auto"/>
                <w:kern w:val="0"/>
                <w:sz w:val="15"/>
                <w:szCs w:val="15"/>
              </w:rPr>
              <w:t>0kA电解槽全石墨化磷生铁浇筑技术改造项目</w:t>
            </w:r>
          </w:p>
        </w:tc>
        <w:tc>
          <w:tcPr>
            <w:tcW w:w="819" w:type="dxa"/>
            <w:vAlign w:val="center"/>
          </w:tcPr>
          <w:p>
            <w:pPr>
              <w:widowControl/>
              <w:spacing w:line="240" w:lineRule="exact"/>
              <w:jc w:val="center"/>
              <w:textAlignment w:val="center"/>
              <w:rPr>
                <w:rFonts w:hint="eastAsia" w:ascii="宋体" w:hAnsi="宋体" w:eastAsia="宋体" w:cs="宋体"/>
                <w:kern w:val="0"/>
                <w:sz w:val="15"/>
                <w:szCs w:val="15"/>
                <w:lang w:eastAsia="zh-CN"/>
              </w:rPr>
            </w:pPr>
            <w:r>
              <w:rPr>
                <w:rFonts w:hint="eastAsia" w:ascii="宋体" w:hAnsi="宋体" w:eastAsia="宋体" w:cs="宋体"/>
                <w:kern w:val="0"/>
                <w:sz w:val="15"/>
                <w:szCs w:val="15"/>
              </w:rPr>
              <w:t>300</w:t>
            </w:r>
          </w:p>
        </w:tc>
        <w:tc>
          <w:tcPr>
            <w:tcW w:w="640" w:type="dxa"/>
            <w:vAlign w:val="center"/>
          </w:tcPr>
          <w:p>
            <w:pPr>
              <w:widowControl/>
              <w:spacing w:line="240" w:lineRule="exact"/>
              <w:jc w:val="center"/>
              <w:textAlignment w:val="center"/>
              <w:rPr>
                <w:rFonts w:hint="eastAsia" w:ascii="宋体" w:hAnsi="宋体" w:eastAsia="宋体" w:cs="宋体"/>
                <w:kern w:val="0"/>
                <w:sz w:val="15"/>
                <w:szCs w:val="15"/>
                <w:lang w:eastAsia="zh-CN"/>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hint="eastAsia" w:ascii="宋体" w:hAnsi="宋体" w:eastAsia="宋体" w:cs="宋体"/>
                <w:kern w:val="0"/>
                <w:sz w:val="15"/>
                <w:szCs w:val="15"/>
                <w:lang w:eastAsia="zh-CN"/>
              </w:rPr>
            </w:pPr>
            <w:r>
              <w:rPr>
                <w:rFonts w:hint="eastAsia" w:ascii="宋体" w:hAnsi="宋体" w:eastAsia="宋体" w:cs="宋体"/>
                <w:sz w:val="15"/>
                <w:szCs w:val="15"/>
              </w:rPr>
              <w:t>电解槽大修时采用100%石墨质阴极，降低炉底压降。</w:t>
            </w:r>
          </w:p>
        </w:tc>
        <w:tc>
          <w:tcPr>
            <w:tcW w:w="1134" w:type="dxa"/>
            <w:vAlign w:val="center"/>
          </w:tcPr>
          <w:p>
            <w:pPr>
              <w:widowControl/>
              <w:spacing w:line="140" w:lineRule="exact"/>
              <w:jc w:val="center"/>
              <w:textAlignment w:val="center"/>
              <w:rPr>
                <w:rFonts w:hint="eastAsia" w:ascii="宋体" w:hAnsi="宋体" w:eastAsia="宋体" w:cs="宋体"/>
                <w:kern w:val="0"/>
                <w:sz w:val="15"/>
                <w:szCs w:val="15"/>
                <w:lang w:eastAsia="zh-CN"/>
              </w:rPr>
            </w:pPr>
            <w:r>
              <w:rPr>
                <w:rFonts w:hint="eastAsia" w:ascii="宋体" w:hAnsi="宋体" w:eastAsia="宋体" w:cs="宋体"/>
                <w:kern w:val="0"/>
                <w:sz w:val="15"/>
                <w:szCs w:val="15"/>
              </w:rPr>
              <w:t>2024年</w:t>
            </w:r>
          </w:p>
        </w:tc>
        <w:tc>
          <w:tcPr>
            <w:tcW w:w="1729" w:type="dxa"/>
            <w:vMerge w:val="continue"/>
            <w:vAlign w:val="center"/>
          </w:tcPr>
          <w:p>
            <w:pPr>
              <w:widowControl/>
              <w:spacing w:line="240" w:lineRule="exact"/>
              <w:jc w:val="center"/>
              <w:textAlignment w:val="center"/>
              <w:rPr>
                <w:rFonts w:hint="eastAsia" w:ascii="宋体" w:hAnsi="宋体" w:eastAsia="宋体" w:cs="宋体"/>
                <w:kern w:val="0"/>
                <w:sz w:val="15"/>
                <w:szCs w:val="15"/>
                <w:lang w:eastAsia="zh-CN"/>
              </w:rPr>
            </w:pPr>
          </w:p>
        </w:tc>
        <w:tc>
          <w:tcPr>
            <w:tcW w:w="1895" w:type="dxa"/>
            <w:vMerge w:val="restart"/>
            <w:vAlign w:val="center"/>
          </w:tcPr>
          <w:p>
            <w:pPr>
              <w:widowControl/>
              <w:spacing w:line="240" w:lineRule="exact"/>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铝液电解交流电耗</w:t>
            </w:r>
          </w:p>
          <w:p>
            <w:pPr>
              <w:widowControl/>
              <w:spacing w:line="240" w:lineRule="exact"/>
              <w:jc w:val="center"/>
              <w:textAlignment w:val="center"/>
              <w:rPr>
                <w:rFonts w:ascii="宋体" w:hAnsi="宋体" w:eastAsia="宋体" w:cs="宋体"/>
                <w:color w:val="000000"/>
                <w:kern w:val="0"/>
                <w:sz w:val="15"/>
                <w:szCs w:val="15"/>
              </w:rPr>
            </w:pPr>
            <w:r>
              <w:rPr>
                <w:rFonts w:hint="eastAsia" w:ascii="宋体" w:hAnsi="宋体" w:eastAsia="宋体" w:cs="宋体"/>
                <w:sz w:val="15"/>
                <w:szCs w:val="15"/>
              </w:rPr>
              <w:t>13128</w:t>
            </w:r>
            <w:r>
              <w:rPr>
                <w:rFonts w:hint="eastAsia" w:ascii="宋体" w:hAnsi="宋体" w:eastAsia="宋体" w:cs="宋体"/>
                <w:color w:val="000000"/>
                <w:kern w:val="0"/>
                <w:sz w:val="15"/>
                <w:szCs w:val="15"/>
              </w:rPr>
              <w:t>(kwh/t）</w:t>
            </w:r>
          </w:p>
          <w:p>
            <w:pPr>
              <w:widowControl/>
              <w:spacing w:line="240" w:lineRule="exact"/>
              <w:jc w:val="center"/>
              <w:textAlignment w:val="center"/>
              <w:rPr>
                <w:rFonts w:hint="eastAsia" w:ascii="宋体" w:hAnsi="宋体" w:eastAsia="宋体" w:cs="宋体"/>
                <w:color w:val="FF0000"/>
                <w:kern w:val="0"/>
                <w:sz w:val="15"/>
                <w:szCs w:val="15"/>
                <w:lang w:eastAsia="zh-CN"/>
              </w:rPr>
            </w:pPr>
            <w:r>
              <w:rPr>
                <w:rFonts w:hint="eastAsia" w:ascii="宋体" w:hAnsi="宋体" w:eastAsia="宋体" w:cs="宋体"/>
                <w:color w:val="000000"/>
                <w:kern w:val="0"/>
                <w:sz w:val="15"/>
                <w:szCs w:val="15"/>
              </w:rPr>
              <w:t>（基准水平）</w:t>
            </w:r>
          </w:p>
        </w:tc>
        <w:tc>
          <w:tcPr>
            <w:tcW w:w="726" w:type="dxa"/>
            <w:vAlign w:val="center"/>
          </w:tcPr>
          <w:p>
            <w:pPr>
              <w:widowControl/>
              <w:spacing w:line="240" w:lineRule="exact"/>
              <w:jc w:val="center"/>
              <w:textAlignment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升级</w:t>
            </w:r>
          </w:p>
          <w:p>
            <w:pPr>
              <w:widowControl/>
              <w:spacing w:line="240" w:lineRule="exact"/>
              <w:jc w:val="center"/>
              <w:textAlignment w:val="center"/>
              <w:rPr>
                <w:rFonts w:hint="eastAsia" w:ascii="宋体" w:hAnsi="宋体" w:eastAsia="宋体" w:cs="Arial"/>
                <w:kern w:val="0"/>
                <w:sz w:val="15"/>
                <w:szCs w:val="15"/>
                <w:lang w:eastAsia="zh-CN"/>
              </w:rPr>
            </w:pPr>
            <w:r>
              <w:rPr>
                <w:rFonts w:hint="eastAsia" w:ascii="宋体" w:hAnsi="宋体" w:eastAsia="宋体" w:cs="宋体"/>
                <w:color w:val="000000"/>
                <w:kern w:val="0"/>
                <w:sz w:val="15"/>
                <w:szCs w:val="15"/>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lang w:val="en-US" w:eastAsia="zh-CN"/>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vAlign w:val="center"/>
          </w:tcPr>
          <w:p>
            <w:pPr>
              <w:widowControl/>
              <w:spacing w:line="240" w:lineRule="exact"/>
              <w:jc w:val="center"/>
              <w:textAlignment w:val="center"/>
              <w:rPr>
                <w:rFonts w:hint="eastAsia" w:ascii="宋体" w:hAnsi="宋体" w:eastAsia="宋体" w:cs="Arial"/>
                <w:kern w:val="0"/>
                <w:sz w:val="15"/>
                <w:szCs w:val="15"/>
              </w:rPr>
            </w:pPr>
          </w:p>
        </w:tc>
        <w:tc>
          <w:tcPr>
            <w:tcW w:w="888"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olor w:val="000000"/>
                <w:sz w:val="15"/>
                <w:szCs w:val="15"/>
              </w:rPr>
            </w:pPr>
          </w:p>
        </w:tc>
        <w:tc>
          <w:tcPr>
            <w:tcW w:w="1179" w:type="dxa"/>
            <w:vAlign w:val="center"/>
          </w:tcPr>
          <w:p>
            <w:pPr>
              <w:widowControl/>
              <w:spacing w:line="240" w:lineRule="exact"/>
              <w:jc w:val="left"/>
              <w:textAlignment w:val="center"/>
              <w:rPr>
                <w:rFonts w:hint="eastAsia" w:ascii="宋体" w:hAnsi="宋体" w:eastAsia="宋体" w:cs="宋体"/>
                <w:color w:val="auto"/>
                <w:kern w:val="0"/>
                <w:sz w:val="15"/>
                <w:szCs w:val="15"/>
                <w:lang w:eastAsia="zh-CN"/>
              </w:rPr>
            </w:pPr>
            <w:r>
              <w:rPr>
                <w:rFonts w:hint="eastAsia" w:ascii="宋体" w:hAnsi="宋体" w:eastAsia="宋体" w:cs="宋体"/>
                <w:color w:val="auto"/>
                <w:sz w:val="15"/>
                <w:szCs w:val="15"/>
              </w:rPr>
              <w:t>分布式光伏建设项目</w:t>
            </w:r>
          </w:p>
        </w:tc>
        <w:tc>
          <w:tcPr>
            <w:tcW w:w="819" w:type="dxa"/>
            <w:vAlign w:val="center"/>
          </w:tcPr>
          <w:p>
            <w:pPr>
              <w:widowControl/>
              <w:spacing w:line="240" w:lineRule="exact"/>
              <w:jc w:val="center"/>
              <w:textAlignment w:val="center"/>
              <w:rPr>
                <w:rFonts w:hint="eastAsia" w:ascii="宋体" w:hAnsi="宋体" w:eastAsia="宋体" w:cs="宋体"/>
                <w:kern w:val="0"/>
                <w:sz w:val="15"/>
                <w:szCs w:val="15"/>
                <w:lang w:eastAsia="zh-CN"/>
              </w:rPr>
            </w:pPr>
            <w:r>
              <w:rPr>
                <w:rFonts w:hint="eastAsia" w:ascii="宋体" w:hAnsi="宋体" w:eastAsia="宋体" w:cs="宋体"/>
                <w:sz w:val="15"/>
                <w:szCs w:val="15"/>
              </w:rPr>
              <w:t>1500</w:t>
            </w:r>
          </w:p>
        </w:tc>
        <w:tc>
          <w:tcPr>
            <w:tcW w:w="640" w:type="dxa"/>
            <w:vAlign w:val="center"/>
          </w:tcPr>
          <w:p>
            <w:pPr>
              <w:widowControl/>
              <w:spacing w:line="240" w:lineRule="exact"/>
              <w:jc w:val="center"/>
              <w:textAlignment w:val="center"/>
              <w:rPr>
                <w:rFonts w:hint="eastAsia" w:ascii="宋体" w:hAnsi="宋体" w:eastAsia="宋体" w:cs="宋体"/>
                <w:kern w:val="0"/>
                <w:sz w:val="15"/>
                <w:szCs w:val="15"/>
                <w:lang w:eastAsia="zh-CN"/>
              </w:rPr>
            </w:pPr>
            <w:r>
              <w:rPr>
                <w:rFonts w:hint="eastAsia" w:ascii="宋体" w:hAnsi="宋体" w:eastAsia="宋体" w:cs="宋体"/>
                <w:sz w:val="15"/>
                <w:szCs w:val="15"/>
              </w:rPr>
              <w:t>自筹</w:t>
            </w:r>
          </w:p>
        </w:tc>
        <w:tc>
          <w:tcPr>
            <w:tcW w:w="3833" w:type="dxa"/>
            <w:vAlign w:val="center"/>
          </w:tcPr>
          <w:p>
            <w:pPr>
              <w:widowControl/>
              <w:spacing w:line="240" w:lineRule="exact"/>
              <w:jc w:val="both"/>
              <w:textAlignment w:val="center"/>
              <w:rPr>
                <w:rFonts w:hint="eastAsia" w:ascii="宋体" w:hAnsi="宋体" w:eastAsia="宋体" w:cs="宋体"/>
                <w:kern w:val="0"/>
                <w:sz w:val="15"/>
                <w:szCs w:val="15"/>
                <w:lang w:eastAsia="zh-CN"/>
              </w:rPr>
            </w:pPr>
            <w:r>
              <w:rPr>
                <w:rFonts w:hint="eastAsia" w:ascii="宋体" w:hAnsi="宋体" w:eastAsia="宋体" w:cs="宋体"/>
                <w:sz w:val="15"/>
                <w:szCs w:val="15"/>
              </w:rPr>
              <w:t>计划在一、二期厂区屋顶及空余场地安装分布式光伏发电设备，接入厂区供电系统。</w:t>
            </w:r>
          </w:p>
        </w:tc>
        <w:tc>
          <w:tcPr>
            <w:tcW w:w="1134" w:type="dxa"/>
            <w:vAlign w:val="center"/>
          </w:tcPr>
          <w:p>
            <w:pPr>
              <w:widowControl/>
              <w:spacing w:line="240" w:lineRule="exact"/>
              <w:jc w:val="center"/>
              <w:textAlignment w:val="center"/>
              <w:rPr>
                <w:rFonts w:hint="eastAsia" w:ascii="宋体" w:hAnsi="宋体" w:eastAsia="宋体" w:cs="宋体"/>
                <w:kern w:val="0"/>
                <w:sz w:val="15"/>
                <w:szCs w:val="15"/>
                <w:lang w:eastAsia="zh-CN"/>
              </w:rPr>
            </w:pPr>
            <w:r>
              <w:rPr>
                <w:rFonts w:hint="eastAsia" w:ascii="宋体" w:hAnsi="宋体" w:eastAsia="宋体" w:cs="宋体"/>
                <w:sz w:val="15"/>
                <w:szCs w:val="15"/>
              </w:rPr>
              <w:t>2</w:t>
            </w:r>
            <w:r>
              <w:rPr>
                <w:rFonts w:ascii="宋体" w:hAnsi="宋体" w:eastAsia="宋体" w:cs="宋体"/>
                <w:sz w:val="15"/>
                <w:szCs w:val="15"/>
              </w:rPr>
              <w:t>02</w:t>
            </w:r>
            <w:r>
              <w:rPr>
                <w:rFonts w:hint="eastAsia" w:ascii="宋体" w:hAnsi="宋体" w:eastAsia="宋体" w:cs="宋体"/>
                <w:sz w:val="15"/>
                <w:szCs w:val="15"/>
              </w:rPr>
              <w:t>5年</w:t>
            </w:r>
          </w:p>
        </w:tc>
        <w:tc>
          <w:tcPr>
            <w:tcW w:w="1729" w:type="dxa"/>
            <w:vMerge w:val="continue"/>
            <w:vAlign w:val="center"/>
          </w:tcPr>
          <w:p>
            <w:pPr>
              <w:widowControl/>
              <w:spacing w:line="240" w:lineRule="exact"/>
              <w:jc w:val="left"/>
              <w:textAlignment w:val="center"/>
              <w:rPr>
                <w:rFonts w:hint="eastAsia" w:ascii="宋体" w:hAnsi="宋体" w:eastAsia="宋体" w:cs="宋体"/>
                <w:kern w:val="0"/>
                <w:sz w:val="15"/>
                <w:szCs w:val="15"/>
                <w:lang w:eastAsia="zh-CN"/>
              </w:rPr>
            </w:pPr>
          </w:p>
        </w:tc>
        <w:tc>
          <w:tcPr>
            <w:tcW w:w="1895" w:type="dxa"/>
            <w:vMerge w:val="continue"/>
            <w:vAlign w:val="center"/>
          </w:tcPr>
          <w:p>
            <w:pPr>
              <w:widowControl/>
              <w:spacing w:line="240" w:lineRule="exact"/>
              <w:jc w:val="center"/>
              <w:textAlignment w:val="center"/>
              <w:rPr>
                <w:rFonts w:hint="eastAsia" w:ascii="宋体" w:hAnsi="宋体" w:eastAsia="宋体" w:cs="宋体"/>
                <w:color w:val="FF0000"/>
                <w:kern w:val="0"/>
                <w:sz w:val="15"/>
                <w:szCs w:val="15"/>
                <w:lang w:eastAsia="zh-CN"/>
              </w:rPr>
            </w:pPr>
          </w:p>
        </w:tc>
        <w:tc>
          <w:tcPr>
            <w:tcW w:w="726" w:type="dxa"/>
            <w:vAlign w:val="center"/>
          </w:tcPr>
          <w:p>
            <w:pPr>
              <w:widowControl/>
              <w:spacing w:line="240" w:lineRule="exact"/>
              <w:jc w:val="center"/>
              <w:textAlignment w:val="center"/>
              <w:rPr>
                <w:rFonts w:hint="eastAsia" w:ascii="宋体" w:hAnsi="宋体" w:eastAsia="宋体" w:cs="Arial"/>
                <w:kern w:val="0"/>
                <w:sz w:val="15"/>
                <w:szCs w:val="15"/>
                <w:lang w:eastAsia="zh-CN"/>
              </w:rPr>
            </w:pPr>
            <w:r>
              <w:rPr>
                <w:rFonts w:hint="eastAsia" w:ascii="宋体" w:hAnsi="宋体" w:eastAsia="宋体" w:cs="宋体"/>
                <w:kern w:val="0"/>
                <w:sz w:val="15"/>
                <w:szCs w:val="15"/>
                <w:lang w:val="en" w:eastAsia="zh-CN" w:bidi="ar-SA"/>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15402" w:type="dxa"/>
            <w:gridSpan w:val="12"/>
            <w:vAlign w:val="center"/>
          </w:tcPr>
          <w:p>
            <w:pPr>
              <w:widowControl/>
              <w:spacing w:line="240" w:lineRule="exact"/>
              <w:jc w:val="center"/>
              <w:textAlignment w:val="center"/>
              <w:rPr>
                <w:rFonts w:hint="eastAsia" w:ascii="宋体" w:hAnsi="宋体" w:eastAsia="宋体" w:cs="Arial"/>
                <w:kern w:val="0"/>
                <w:sz w:val="15"/>
                <w:szCs w:val="15"/>
                <w:lang w:eastAsia="zh-CN"/>
              </w:rPr>
            </w:pPr>
            <w:r>
              <w:rPr>
                <w:rFonts w:hint="eastAsia" w:ascii="黑体" w:hAnsi="黑体" w:eastAsia="黑体" w:cs="黑体"/>
                <w:kern w:val="0"/>
                <w:sz w:val="15"/>
                <w:szCs w:val="15"/>
                <w:lang w:val="en-US" w:eastAsia="zh-CN"/>
              </w:rPr>
              <w:t>铅、锌、铜冶炼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jc w:val="center"/>
        </w:trPr>
        <w:tc>
          <w:tcPr>
            <w:tcW w:w="378" w:type="dxa"/>
            <w:vAlign w:val="center"/>
          </w:tcPr>
          <w:p>
            <w:pPr>
              <w:widowControl/>
              <w:spacing w:line="240" w:lineRule="exact"/>
              <w:jc w:val="center"/>
              <w:textAlignment w:val="center"/>
              <w:rPr>
                <w:rFonts w:hint="eastAsia"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9</w:t>
            </w:r>
          </w:p>
        </w:tc>
        <w:tc>
          <w:tcPr>
            <w:tcW w:w="958"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铅冶炼</w:t>
            </w:r>
          </w:p>
        </w:tc>
        <w:tc>
          <w:tcPr>
            <w:tcW w:w="1223" w:type="dxa"/>
            <w:vAlign w:val="center"/>
          </w:tcPr>
          <w:p>
            <w:pPr>
              <w:widowControl/>
              <w:spacing w:line="240" w:lineRule="exact"/>
              <w:jc w:val="center"/>
              <w:textAlignment w:val="center"/>
              <w:rPr>
                <w:rFonts w:hint="eastAsia" w:ascii="宋体" w:hAnsi="宋体" w:eastAsia="宋体" w:cs="宋体"/>
                <w:color w:val="auto"/>
                <w:kern w:val="2"/>
                <w:sz w:val="15"/>
                <w:szCs w:val="15"/>
                <w:lang w:val="en-US" w:eastAsia="zh-CN" w:bidi="ar-SA"/>
              </w:rPr>
            </w:pPr>
            <w:r>
              <w:rPr>
                <w:rFonts w:hint="eastAsia" w:ascii="宋体" w:hAnsi="宋体" w:eastAsia="宋体" w:cs="宋体"/>
                <w:color w:val="auto"/>
                <w:sz w:val="15"/>
                <w:szCs w:val="15"/>
              </w:rPr>
              <w:t>青海西豫有色金属有限公司</w:t>
            </w:r>
          </w:p>
        </w:tc>
        <w:tc>
          <w:tcPr>
            <w:tcW w:w="888"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eastAsia="zh-CN"/>
              </w:rPr>
              <w:t>青海省</w:t>
            </w:r>
            <w:r>
              <w:rPr>
                <w:rFonts w:hint="eastAsia" w:ascii="宋体" w:hAnsi="宋体" w:eastAsia="宋体" w:cs="宋体"/>
                <w:sz w:val="15"/>
                <w:szCs w:val="15"/>
              </w:rPr>
              <w:t>格尔木市昆仑经济开发区</w:t>
            </w:r>
          </w:p>
        </w:tc>
        <w:tc>
          <w:tcPr>
            <w:tcW w:w="1179" w:type="dxa"/>
            <w:vAlign w:val="center"/>
          </w:tcPr>
          <w:p>
            <w:pPr>
              <w:widowControl/>
              <w:spacing w:line="24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多金属资源循环利用及环保升级改造项目</w:t>
            </w:r>
          </w:p>
        </w:tc>
        <w:tc>
          <w:tcPr>
            <w:tcW w:w="819"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ascii="宋体" w:hAnsi="宋体" w:eastAsia="宋体" w:cs="宋体"/>
                <w:sz w:val="15"/>
                <w:szCs w:val="15"/>
              </w:rPr>
              <w:t>209970</w:t>
            </w:r>
          </w:p>
        </w:tc>
        <w:tc>
          <w:tcPr>
            <w:tcW w:w="640"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项目的建设内容包括三部分：第一部分在南侧新增占地范围内建设20万 t电铅/a规模的铅生产系统，建成后原有铅冶炼系统及配套的冶炼烟气制酸系统停产；第二部分在原有厂区内对生产系统的配套进行改扩建，主要包括化学水处理站改扩建、污酸污水处理站改扩建、氧气制备站扩建、酸库改扩建、综合管网改造以及与上述各车间配套的供气、给排水、供配电、仪控及消防系统等；第三部分是对原有贵金属生产系统进行改造，以满足铅系统产生的铅阳极泥及外购铜阳极泥处理规模需求。</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2023年3月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2024年10月</w:t>
            </w:r>
          </w:p>
        </w:tc>
        <w:tc>
          <w:tcPr>
            <w:tcW w:w="1729" w:type="dxa"/>
            <w:vAlign w:val="center"/>
          </w:tcPr>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粗铅工艺230.86（kgce/t）</w:t>
            </w:r>
            <w:r>
              <w:rPr>
                <w:rFonts w:hint="eastAsia" w:ascii="宋体" w:hAnsi="宋体" w:eastAsia="宋体" w:cs="Arial"/>
                <w:kern w:val="0"/>
                <w:sz w:val="15"/>
                <w:szCs w:val="15"/>
                <w:lang w:eastAsia="zh-CN"/>
              </w:rPr>
              <w:t>（</w:t>
            </w:r>
            <w:r>
              <w:rPr>
                <w:rFonts w:hint="eastAsia" w:ascii="宋体" w:hAnsi="宋体" w:eastAsia="宋体" w:cs="Arial"/>
                <w:kern w:val="0"/>
                <w:sz w:val="15"/>
                <w:szCs w:val="15"/>
              </w:rPr>
              <w:t>基准水平</w:t>
            </w:r>
            <w:r>
              <w:rPr>
                <w:rFonts w:hint="eastAsia" w:ascii="宋体" w:hAnsi="宋体" w:eastAsia="宋体" w:cs="Arial"/>
                <w:kern w:val="0"/>
                <w:sz w:val="15"/>
                <w:szCs w:val="15"/>
                <w:lang w:eastAsia="zh-CN"/>
              </w:rPr>
              <w:t>）</w:t>
            </w:r>
            <w:r>
              <w:rPr>
                <w:rFonts w:hint="eastAsia" w:ascii="宋体" w:hAnsi="宋体" w:eastAsia="宋体" w:cs="Arial"/>
                <w:kern w:val="0"/>
                <w:sz w:val="15"/>
                <w:szCs w:val="15"/>
              </w:rPr>
              <w:t>铅电解精炼工序54.03（kgce/t）</w:t>
            </w:r>
            <w:r>
              <w:rPr>
                <w:rFonts w:hint="eastAsia" w:ascii="宋体" w:hAnsi="宋体" w:eastAsia="宋体" w:cs="Arial"/>
                <w:kern w:val="0"/>
                <w:sz w:val="15"/>
                <w:szCs w:val="15"/>
                <w:lang w:eastAsia="zh-CN"/>
              </w:rPr>
              <w:t>（</w:t>
            </w:r>
            <w:r>
              <w:rPr>
                <w:rFonts w:hint="eastAsia" w:ascii="宋体" w:hAnsi="宋体" w:eastAsia="宋体" w:cs="Arial"/>
                <w:kern w:val="0"/>
                <w:sz w:val="15"/>
                <w:szCs w:val="15"/>
              </w:rPr>
              <w:t>标杆水平</w:t>
            </w:r>
            <w:r>
              <w:rPr>
                <w:rFonts w:hint="eastAsia" w:ascii="宋体" w:hAnsi="宋体" w:eastAsia="宋体" w:cs="Arial"/>
                <w:kern w:val="0"/>
                <w:sz w:val="15"/>
                <w:szCs w:val="15"/>
                <w:lang w:eastAsia="zh-CN"/>
              </w:rPr>
              <w:t>）</w:t>
            </w:r>
            <w:r>
              <w:rPr>
                <w:rFonts w:hint="eastAsia" w:ascii="宋体" w:hAnsi="宋体" w:eastAsia="宋体" w:cs="Arial"/>
                <w:kern w:val="0"/>
                <w:sz w:val="15"/>
                <w:szCs w:val="15"/>
              </w:rPr>
              <w:t>铅冶炼工艺287.19（kgce/t）</w:t>
            </w:r>
            <w:r>
              <w:rPr>
                <w:rFonts w:hint="eastAsia" w:ascii="宋体" w:hAnsi="宋体" w:eastAsia="宋体" w:cs="Arial"/>
                <w:kern w:val="0"/>
                <w:sz w:val="15"/>
                <w:szCs w:val="15"/>
                <w:lang w:eastAsia="zh-CN"/>
              </w:rPr>
              <w:t>（</w:t>
            </w:r>
            <w:r>
              <w:rPr>
                <w:rFonts w:hint="eastAsia" w:ascii="宋体" w:hAnsi="宋体" w:eastAsia="宋体" w:cs="Arial"/>
                <w:kern w:val="0"/>
                <w:sz w:val="15"/>
                <w:szCs w:val="15"/>
              </w:rPr>
              <w:t>标杆水平</w:t>
            </w:r>
            <w:r>
              <w:rPr>
                <w:rFonts w:hint="eastAsia" w:ascii="宋体" w:hAnsi="宋体" w:eastAsia="宋体" w:cs="Arial"/>
                <w:kern w:val="0"/>
                <w:sz w:val="15"/>
                <w:szCs w:val="15"/>
                <w:lang w:eastAsia="zh-CN"/>
              </w:rPr>
              <w:t>）</w:t>
            </w:r>
          </w:p>
        </w:tc>
        <w:tc>
          <w:tcPr>
            <w:tcW w:w="1895"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Arial"/>
                <w:kern w:val="0"/>
                <w:sz w:val="15"/>
                <w:szCs w:val="15"/>
              </w:rPr>
              <w:t>粗铅工艺</w:t>
            </w:r>
            <w:r>
              <w:rPr>
                <w:rFonts w:hint="eastAsia" w:ascii="宋体" w:hAnsi="宋体" w:eastAsia="宋体" w:cs="Arial"/>
                <w:kern w:val="0"/>
                <w:sz w:val="15"/>
                <w:szCs w:val="15"/>
                <w:lang w:val="en-US" w:eastAsia="zh-CN"/>
              </w:rPr>
              <w:t>162.79</w:t>
            </w:r>
            <w:r>
              <w:rPr>
                <w:rFonts w:hint="eastAsia" w:ascii="宋体" w:hAnsi="宋体" w:eastAsia="宋体" w:cs="Arial"/>
                <w:kern w:val="0"/>
                <w:sz w:val="15"/>
                <w:szCs w:val="15"/>
              </w:rPr>
              <w:t>（kgce/t）</w:t>
            </w:r>
            <w:r>
              <w:rPr>
                <w:rFonts w:hint="eastAsia" w:ascii="宋体" w:hAnsi="宋体" w:eastAsia="宋体" w:cs="Arial"/>
                <w:kern w:val="0"/>
                <w:sz w:val="15"/>
                <w:szCs w:val="15"/>
                <w:lang w:eastAsia="zh-CN"/>
              </w:rPr>
              <w:t>（</w:t>
            </w:r>
            <w:r>
              <w:rPr>
                <w:rFonts w:hint="eastAsia" w:ascii="宋体" w:hAnsi="宋体" w:eastAsia="宋体" w:cs="Arial"/>
                <w:kern w:val="0"/>
                <w:sz w:val="15"/>
                <w:szCs w:val="15"/>
              </w:rPr>
              <w:t>标杆水平</w:t>
            </w:r>
            <w:r>
              <w:rPr>
                <w:rFonts w:hint="eastAsia" w:ascii="宋体" w:hAnsi="宋体" w:eastAsia="宋体" w:cs="Arial"/>
                <w:kern w:val="0"/>
                <w:sz w:val="15"/>
                <w:szCs w:val="15"/>
                <w:lang w:eastAsia="zh-CN"/>
              </w:rPr>
              <w:t>），</w:t>
            </w:r>
            <w:r>
              <w:rPr>
                <w:rFonts w:hint="eastAsia" w:ascii="宋体" w:hAnsi="宋体" w:eastAsia="宋体" w:cs="Arial"/>
                <w:kern w:val="0"/>
                <w:sz w:val="15"/>
                <w:szCs w:val="15"/>
              </w:rPr>
              <w:t>铅电解精炼工序</w:t>
            </w:r>
            <w:r>
              <w:rPr>
                <w:rFonts w:hint="eastAsia" w:ascii="宋体" w:hAnsi="宋体" w:eastAsia="宋体" w:cs="Arial"/>
                <w:kern w:val="0"/>
                <w:sz w:val="15"/>
                <w:szCs w:val="15"/>
                <w:lang w:val="en-US" w:eastAsia="zh-CN"/>
              </w:rPr>
              <w:t>77.85</w:t>
            </w:r>
            <w:r>
              <w:rPr>
                <w:rFonts w:hint="eastAsia" w:ascii="宋体" w:hAnsi="宋体" w:eastAsia="宋体" w:cs="Arial"/>
                <w:kern w:val="0"/>
                <w:sz w:val="15"/>
                <w:szCs w:val="15"/>
              </w:rPr>
              <w:t>（kgce/t）</w:t>
            </w:r>
            <w:r>
              <w:rPr>
                <w:rFonts w:hint="eastAsia" w:ascii="宋体" w:hAnsi="宋体" w:eastAsia="宋体" w:cs="Arial"/>
                <w:kern w:val="0"/>
                <w:sz w:val="15"/>
                <w:szCs w:val="15"/>
                <w:lang w:eastAsia="zh-CN"/>
              </w:rPr>
              <w:t>（</w:t>
            </w:r>
            <w:r>
              <w:rPr>
                <w:rFonts w:hint="eastAsia" w:ascii="宋体" w:hAnsi="宋体" w:eastAsia="宋体" w:cs="Arial"/>
                <w:kern w:val="0"/>
                <w:sz w:val="15"/>
                <w:szCs w:val="15"/>
              </w:rPr>
              <w:t>标杆水平</w:t>
            </w:r>
            <w:r>
              <w:rPr>
                <w:rFonts w:hint="eastAsia" w:ascii="宋体" w:hAnsi="宋体" w:eastAsia="宋体" w:cs="Arial"/>
                <w:kern w:val="0"/>
                <w:sz w:val="15"/>
                <w:szCs w:val="15"/>
                <w:lang w:eastAsia="zh-CN"/>
              </w:rPr>
              <w:t>），</w:t>
            </w:r>
            <w:r>
              <w:rPr>
                <w:rFonts w:hint="eastAsia" w:ascii="宋体" w:hAnsi="宋体" w:eastAsia="宋体" w:cs="Arial"/>
                <w:kern w:val="0"/>
                <w:sz w:val="15"/>
                <w:szCs w:val="15"/>
              </w:rPr>
              <w:t>铅冶炼工艺</w:t>
            </w:r>
            <w:r>
              <w:rPr>
                <w:rFonts w:hint="eastAsia" w:ascii="宋体" w:hAnsi="宋体" w:eastAsia="宋体" w:cs="Arial"/>
                <w:kern w:val="0"/>
                <w:sz w:val="15"/>
                <w:szCs w:val="15"/>
                <w:lang w:val="en-US" w:eastAsia="zh-CN"/>
              </w:rPr>
              <w:t>259.22</w:t>
            </w:r>
            <w:r>
              <w:rPr>
                <w:rFonts w:hint="eastAsia" w:ascii="宋体" w:hAnsi="宋体" w:eastAsia="宋体" w:cs="Arial"/>
                <w:kern w:val="0"/>
                <w:sz w:val="15"/>
                <w:szCs w:val="15"/>
              </w:rPr>
              <w:t>（kgce/t）</w:t>
            </w:r>
            <w:r>
              <w:rPr>
                <w:rFonts w:hint="eastAsia" w:ascii="宋体" w:hAnsi="宋体" w:eastAsia="宋体" w:cs="Arial"/>
                <w:kern w:val="0"/>
                <w:sz w:val="15"/>
                <w:szCs w:val="15"/>
                <w:lang w:eastAsia="zh-CN"/>
              </w:rPr>
              <w:t>（</w:t>
            </w:r>
            <w:r>
              <w:rPr>
                <w:rFonts w:hint="eastAsia" w:ascii="宋体" w:hAnsi="宋体" w:eastAsia="宋体" w:cs="Arial"/>
                <w:kern w:val="0"/>
                <w:sz w:val="15"/>
                <w:szCs w:val="15"/>
              </w:rPr>
              <w:t>标杆水平</w:t>
            </w:r>
            <w:r>
              <w:rPr>
                <w:rFonts w:hint="eastAsia" w:ascii="宋体" w:hAnsi="宋体" w:eastAsia="宋体" w:cs="Arial"/>
                <w:kern w:val="0"/>
                <w:sz w:val="15"/>
                <w:szCs w:val="15"/>
                <w:lang w:eastAsia="zh-CN"/>
              </w:rPr>
              <w:t>）</w:t>
            </w:r>
          </w:p>
        </w:tc>
        <w:tc>
          <w:tcPr>
            <w:tcW w:w="726" w:type="dxa"/>
            <w:vAlign w:val="center"/>
          </w:tcPr>
          <w:p>
            <w:pPr>
              <w:widowControl/>
              <w:spacing w:line="240" w:lineRule="exact"/>
              <w:jc w:val="center"/>
              <w:textAlignment w:val="center"/>
              <w:rPr>
                <w:rFonts w:hint="eastAsia" w:ascii="宋体" w:hAnsi="宋体" w:eastAsia="宋体" w:cs="宋体"/>
                <w:kern w:val="0"/>
                <w:sz w:val="15"/>
                <w:szCs w:val="15"/>
                <w:lang w:val="en-US" w:eastAsia="zh-CN" w:bidi="ar-SA"/>
              </w:rPr>
            </w:pPr>
            <w:r>
              <w:rPr>
                <w:rFonts w:hint="eastAsia" w:ascii="宋体" w:hAnsi="宋体" w:eastAsia="宋体" w:cs="宋体"/>
                <w:kern w:val="0"/>
                <w:sz w:val="15"/>
                <w:szCs w:val="15"/>
                <w:lang w:val="en" w:eastAsia="zh-CN" w:bidi="ar-SA"/>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378" w:type="dxa"/>
            <w:vAlign w:val="center"/>
          </w:tcPr>
          <w:p>
            <w:pPr>
              <w:widowControl/>
              <w:spacing w:line="240" w:lineRule="exact"/>
              <w:jc w:val="center"/>
              <w:textAlignment w:val="center"/>
              <w:rPr>
                <w:rFonts w:hint="default"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10</w:t>
            </w:r>
          </w:p>
        </w:tc>
        <w:tc>
          <w:tcPr>
            <w:tcW w:w="958" w:type="dxa"/>
            <w:vAlign w:val="center"/>
          </w:tcPr>
          <w:p>
            <w:pPr>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锌冶炼</w:t>
            </w:r>
          </w:p>
        </w:tc>
        <w:tc>
          <w:tcPr>
            <w:tcW w:w="1223" w:type="dxa"/>
            <w:vAlign w:val="center"/>
          </w:tcPr>
          <w:p>
            <w:pPr>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西部矿业股份有限公司锌业分公司</w:t>
            </w:r>
          </w:p>
        </w:tc>
        <w:tc>
          <w:tcPr>
            <w:tcW w:w="888" w:type="dxa"/>
            <w:vAlign w:val="center"/>
          </w:tcPr>
          <w:p>
            <w:pPr>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Arial"/>
                <w:kern w:val="0"/>
                <w:sz w:val="15"/>
                <w:szCs w:val="15"/>
                <w:lang w:eastAsia="zh-CN"/>
              </w:rPr>
              <w:t>青海省</w:t>
            </w:r>
            <w:r>
              <w:rPr>
                <w:rFonts w:hint="eastAsia" w:ascii="宋体" w:hAnsi="宋体" w:eastAsia="宋体" w:cs="Arial"/>
                <w:kern w:val="0"/>
                <w:sz w:val="15"/>
                <w:szCs w:val="15"/>
              </w:rPr>
              <w:t>西宁市甘河工业园区</w:t>
            </w:r>
          </w:p>
        </w:tc>
        <w:tc>
          <w:tcPr>
            <w:tcW w:w="1179"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kern w:val="0"/>
                <w:sz w:val="15"/>
                <w:szCs w:val="15"/>
                <w:lang w:eastAsia="zh-CN"/>
              </w:rPr>
              <w:t>变压器更新</w:t>
            </w:r>
          </w:p>
        </w:tc>
        <w:tc>
          <w:tcPr>
            <w:tcW w:w="819"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kern w:val="0"/>
                <w:sz w:val="15"/>
                <w:szCs w:val="15"/>
              </w:rPr>
              <w:t>60</w:t>
            </w:r>
          </w:p>
        </w:tc>
        <w:tc>
          <w:tcPr>
            <w:tcW w:w="640"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kern w:val="0"/>
                <w:sz w:val="15"/>
                <w:szCs w:val="15"/>
              </w:rPr>
              <w:t>依据GB20052-2020表9中容量2500的3级能耗标准要求：空载损耗28.8KW，负载损耗184.5KW，熔锌炉变压器空载损耗33.6KW，负载损耗288.6KW，未达到因家3级以上标准要求属于淘汰产品。将现有油变更换为干变，将现有的油变进行维修做为备用。</w:t>
            </w:r>
          </w:p>
        </w:tc>
        <w:tc>
          <w:tcPr>
            <w:tcW w:w="1134"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kern w:val="0"/>
                <w:sz w:val="15"/>
                <w:szCs w:val="15"/>
              </w:rPr>
              <w:t>2023年</w:t>
            </w:r>
          </w:p>
        </w:tc>
        <w:tc>
          <w:tcPr>
            <w:tcW w:w="1729" w:type="dxa"/>
            <w:vAlign w:val="center"/>
          </w:tcPr>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 xml:space="preserve">湿法炼锌工艺： 电锌锭(无浸出渣火法处理工艺)   (精矿- 电锌锌锭) 821.68（kgce/t） </w:t>
            </w:r>
            <w:r>
              <w:rPr>
                <w:rFonts w:hint="eastAsia" w:ascii="宋体" w:hAnsi="宋体" w:eastAsia="宋体" w:cs="Arial"/>
                <w:kern w:val="0"/>
                <w:sz w:val="15"/>
                <w:szCs w:val="15"/>
                <w:lang w:eastAsia="zh-CN"/>
              </w:rPr>
              <w:t>（</w:t>
            </w:r>
            <w:r>
              <w:rPr>
                <w:rFonts w:hint="eastAsia" w:ascii="宋体" w:hAnsi="宋体" w:eastAsia="宋体" w:cs="Arial"/>
                <w:kern w:val="0"/>
                <w:sz w:val="15"/>
                <w:szCs w:val="15"/>
              </w:rPr>
              <w:t>基准水平</w:t>
            </w:r>
            <w:r>
              <w:rPr>
                <w:rFonts w:hint="eastAsia" w:ascii="宋体" w:hAnsi="宋体" w:eastAsia="宋体" w:cs="Arial"/>
                <w:kern w:val="0"/>
                <w:sz w:val="15"/>
                <w:szCs w:val="15"/>
                <w:lang w:eastAsia="zh-CN"/>
              </w:rPr>
              <w:t>）</w:t>
            </w:r>
          </w:p>
        </w:tc>
        <w:tc>
          <w:tcPr>
            <w:tcW w:w="1895" w:type="dxa"/>
            <w:vAlign w:val="center"/>
          </w:tcPr>
          <w:p>
            <w:pPr>
              <w:widowControl/>
              <w:spacing w:line="24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综合能耗821.34</w:t>
            </w:r>
            <w:r>
              <w:rPr>
                <w:rFonts w:hint="eastAsia" w:ascii="宋体" w:hAnsi="宋体" w:eastAsia="宋体" w:cs="Arial"/>
                <w:kern w:val="0"/>
                <w:sz w:val="15"/>
                <w:szCs w:val="15"/>
              </w:rPr>
              <w:t>（kgce/t）</w:t>
            </w:r>
          </w:p>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color w:val="auto"/>
                <w:kern w:val="0"/>
                <w:sz w:val="15"/>
                <w:szCs w:val="15"/>
              </w:rPr>
              <w:t>（基准水平）</w:t>
            </w:r>
          </w:p>
        </w:tc>
        <w:tc>
          <w:tcPr>
            <w:tcW w:w="726" w:type="dxa"/>
            <w:vAlign w:val="center"/>
          </w:tcPr>
          <w:p>
            <w:pPr>
              <w:widowControl/>
              <w:spacing w:line="240" w:lineRule="exact"/>
              <w:jc w:val="center"/>
              <w:textAlignment w:val="center"/>
              <w:rPr>
                <w:rFonts w:hint="eastAsia" w:ascii="宋体" w:hAnsi="宋体" w:eastAsia="宋体" w:cs="宋体"/>
                <w:kern w:val="0"/>
                <w:sz w:val="15"/>
                <w:szCs w:val="15"/>
                <w:lang w:val="en-US" w:eastAsia="zh-CN" w:bidi="ar-SA"/>
              </w:rPr>
            </w:pPr>
            <w:r>
              <w:rPr>
                <w:rFonts w:hint="eastAsia" w:ascii="宋体" w:hAnsi="宋体" w:eastAsia="宋体" w:cs="宋体"/>
                <w:kern w:val="0"/>
                <w:sz w:val="15"/>
                <w:szCs w:val="15"/>
                <w:lang w:val="en" w:eastAsia="zh-CN" w:bidi="ar-SA"/>
              </w:rPr>
              <w:t>淘汰设备更新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378" w:type="dxa"/>
            <w:vMerge w:val="restart"/>
            <w:vAlign w:val="center"/>
          </w:tcPr>
          <w:p>
            <w:pPr>
              <w:widowControl/>
              <w:spacing w:line="240" w:lineRule="exact"/>
              <w:jc w:val="center"/>
              <w:textAlignment w:val="center"/>
              <w:rPr>
                <w:rFonts w:hint="default"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11</w:t>
            </w:r>
          </w:p>
        </w:tc>
        <w:tc>
          <w:tcPr>
            <w:tcW w:w="958" w:type="dxa"/>
            <w:vMerge w:val="restart"/>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铜冶炼</w:t>
            </w:r>
          </w:p>
        </w:tc>
        <w:tc>
          <w:tcPr>
            <w:tcW w:w="1223" w:type="dxa"/>
            <w:vMerge w:val="restart"/>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青海铜业有限责任公司</w:t>
            </w:r>
          </w:p>
        </w:tc>
        <w:tc>
          <w:tcPr>
            <w:tcW w:w="888" w:type="dxa"/>
            <w:vMerge w:val="restart"/>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Arial"/>
                <w:kern w:val="0"/>
                <w:sz w:val="15"/>
                <w:szCs w:val="15"/>
                <w:lang w:eastAsia="zh-CN"/>
              </w:rPr>
              <w:t>青海省</w:t>
            </w:r>
            <w:r>
              <w:rPr>
                <w:rFonts w:hint="eastAsia" w:ascii="宋体" w:hAnsi="宋体" w:eastAsia="宋体" w:cs="Arial"/>
                <w:kern w:val="0"/>
                <w:sz w:val="15"/>
                <w:szCs w:val="15"/>
              </w:rPr>
              <w:t>西宁市甘河工业园区</w:t>
            </w:r>
          </w:p>
        </w:tc>
        <w:tc>
          <w:tcPr>
            <w:tcW w:w="1179" w:type="dxa"/>
            <w:vAlign w:val="center"/>
          </w:tcPr>
          <w:p>
            <w:pPr>
              <w:widowControl/>
              <w:spacing w:line="24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kern w:val="0"/>
                <w:sz w:val="15"/>
                <w:szCs w:val="15"/>
              </w:rPr>
              <w:t>外供同鑫化工及杭萧钢构蒸汽管网项目</w:t>
            </w:r>
          </w:p>
        </w:tc>
        <w:tc>
          <w:tcPr>
            <w:tcW w:w="819"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kern w:val="0"/>
                <w:sz w:val="15"/>
                <w:szCs w:val="15"/>
              </w:rPr>
              <w:t>150</w:t>
            </w:r>
          </w:p>
        </w:tc>
        <w:tc>
          <w:tcPr>
            <w:tcW w:w="640"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kern w:val="0"/>
                <w:sz w:val="15"/>
                <w:szCs w:val="15"/>
              </w:rPr>
              <w:t>自筹</w:t>
            </w:r>
          </w:p>
        </w:tc>
        <w:tc>
          <w:tcPr>
            <w:tcW w:w="3833" w:type="dxa"/>
            <w:vAlign w:val="center"/>
          </w:tcPr>
          <w:p>
            <w:pPr>
              <w:widowControl/>
              <w:spacing w:line="24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kern w:val="0"/>
                <w:sz w:val="15"/>
                <w:szCs w:val="15"/>
              </w:rPr>
              <w:t>制酸系统转化工序一层和四层分别配置功率4200kw、2200kw电加热器，配建126m</w:t>
            </w:r>
            <w:r>
              <w:rPr>
                <w:rFonts w:hint="eastAsia" w:ascii="宋体" w:hAnsi="宋体" w:eastAsia="宋体" w:cs="宋体"/>
                <w:kern w:val="0"/>
                <w:sz w:val="15"/>
                <w:szCs w:val="15"/>
                <w:vertAlign w:val="superscript"/>
              </w:rPr>
              <w:t>2</w:t>
            </w:r>
            <w:r>
              <w:rPr>
                <w:rFonts w:hint="eastAsia" w:ascii="宋体" w:hAnsi="宋体" w:eastAsia="宋体" w:cs="宋体"/>
                <w:kern w:val="0"/>
                <w:sz w:val="15"/>
                <w:szCs w:val="15"/>
              </w:rPr>
              <w:t>低压配电室及公辅设施。</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2021年12月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2022年1月</w:t>
            </w:r>
          </w:p>
        </w:tc>
        <w:tc>
          <w:tcPr>
            <w:tcW w:w="1729" w:type="dxa"/>
            <w:vMerge w:val="restart"/>
            <w:vAlign w:val="top"/>
          </w:tcPr>
          <w:p>
            <w:pPr>
              <w:widowControl/>
              <w:spacing w:line="240" w:lineRule="exact"/>
              <w:jc w:val="left"/>
              <w:textAlignment w:val="center"/>
              <w:rPr>
                <w:rFonts w:hint="eastAsia" w:ascii="宋体" w:hAnsi="宋体" w:eastAsia="宋体" w:cs="宋体"/>
                <w:kern w:val="0"/>
                <w:sz w:val="15"/>
                <w:szCs w:val="15"/>
                <w:lang w:val="en-US" w:eastAsia="zh-CN" w:bidi="ar-SA"/>
              </w:rPr>
            </w:pPr>
            <w:r>
              <w:rPr>
                <w:rFonts w:hint="eastAsia" w:ascii="宋体" w:hAnsi="宋体" w:eastAsia="宋体" w:cs="宋体"/>
                <w:kern w:val="0"/>
                <w:sz w:val="15"/>
                <w:szCs w:val="15"/>
              </w:rPr>
              <w:t xml:space="preserve">粗铜工艺能耗(铜精矿-粗铜)142.17（kgce/t） </w:t>
            </w:r>
            <w:r>
              <w:rPr>
                <w:rFonts w:hint="eastAsia" w:ascii="宋体" w:hAnsi="宋体" w:eastAsia="宋体" w:cs="宋体"/>
                <w:kern w:val="0"/>
                <w:sz w:val="15"/>
                <w:szCs w:val="15"/>
                <w:lang w:eastAsia="zh-CN"/>
              </w:rPr>
              <w:t>（</w:t>
            </w:r>
            <w:r>
              <w:rPr>
                <w:rFonts w:hint="eastAsia" w:ascii="宋体" w:hAnsi="宋体" w:eastAsia="宋体" w:cs="宋体"/>
                <w:kern w:val="0"/>
                <w:sz w:val="15"/>
                <w:szCs w:val="15"/>
              </w:rPr>
              <w:t>基准水平</w:t>
            </w:r>
            <w:r>
              <w:rPr>
                <w:rFonts w:hint="eastAsia" w:ascii="宋体" w:hAnsi="宋体" w:eastAsia="宋体" w:cs="宋体"/>
                <w:kern w:val="0"/>
                <w:sz w:val="15"/>
                <w:szCs w:val="15"/>
                <w:lang w:eastAsia="zh-CN"/>
              </w:rPr>
              <w:t>），</w:t>
            </w:r>
            <w:r>
              <w:rPr>
                <w:rFonts w:hint="eastAsia" w:ascii="宋体" w:hAnsi="宋体" w:eastAsia="宋体" w:cs="宋体"/>
                <w:kern w:val="0"/>
                <w:sz w:val="15"/>
                <w:szCs w:val="15"/>
              </w:rPr>
              <w:t xml:space="preserve">阳极铜工艺 (铜精矿- 阳极铜) 194.4（kgce/t） </w:t>
            </w:r>
            <w:r>
              <w:rPr>
                <w:rFonts w:hint="eastAsia" w:ascii="宋体" w:hAnsi="宋体" w:eastAsia="宋体" w:cs="宋体"/>
                <w:kern w:val="0"/>
                <w:sz w:val="15"/>
                <w:szCs w:val="15"/>
                <w:lang w:eastAsia="zh-CN"/>
              </w:rPr>
              <w:t>（</w:t>
            </w:r>
            <w:r>
              <w:rPr>
                <w:rFonts w:hint="eastAsia" w:ascii="宋体" w:hAnsi="宋体" w:eastAsia="宋体" w:cs="宋体"/>
                <w:kern w:val="0"/>
                <w:sz w:val="15"/>
                <w:szCs w:val="15"/>
              </w:rPr>
              <w:t>基准水平</w:t>
            </w:r>
            <w:r>
              <w:rPr>
                <w:rFonts w:hint="eastAsia" w:ascii="宋体" w:hAnsi="宋体" w:eastAsia="宋体" w:cs="宋体"/>
                <w:kern w:val="0"/>
                <w:sz w:val="15"/>
                <w:szCs w:val="15"/>
                <w:lang w:eastAsia="zh-CN"/>
              </w:rPr>
              <w:t>），</w:t>
            </w:r>
            <w:r>
              <w:rPr>
                <w:rFonts w:hint="eastAsia" w:ascii="宋体" w:hAnsi="宋体" w:eastAsia="宋体" w:cs="宋体"/>
                <w:kern w:val="0"/>
                <w:sz w:val="15"/>
                <w:szCs w:val="15"/>
              </w:rPr>
              <w:t>电解工序 ( 阳极铜- 阴极铜)84.18（kgce/t）</w:t>
            </w:r>
            <w:r>
              <w:rPr>
                <w:rFonts w:hint="eastAsia" w:ascii="宋体" w:hAnsi="宋体" w:eastAsia="宋体" w:cs="宋体"/>
                <w:kern w:val="0"/>
                <w:sz w:val="15"/>
                <w:szCs w:val="15"/>
                <w:lang w:eastAsia="zh-CN"/>
              </w:rPr>
              <w:t>（</w:t>
            </w:r>
            <w:r>
              <w:rPr>
                <w:rFonts w:hint="eastAsia" w:ascii="宋体" w:hAnsi="宋体" w:eastAsia="宋体" w:cs="宋体"/>
                <w:kern w:val="0"/>
                <w:sz w:val="15"/>
                <w:szCs w:val="15"/>
              </w:rPr>
              <w:t>标杆水平</w:t>
            </w:r>
            <w:r>
              <w:rPr>
                <w:rFonts w:hint="eastAsia" w:ascii="宋体" w:hAnsi="宋体" w:eastAsia="宋体" w:cs="宋体"/>
                <w:kern w:val="0"/>
                <w:sz w:val="15"/>
                <w:szCs w:val="15"/>
                <w:lang w:eastAsia="zh-CN"/>
              </w:rPr>
              <w:t>），</w:t>
            </w:r>
            <w:r>
              <w:rPr>
                <w:rFonts w:hint="eastAsia" w:ascii="宋体" w:hAnsi="宋体" w:eastAsia="宋体" w:cs="宋体"/>
                <w:kern w:val="0"/>
                <w:sz w:val="15"/>
                <w:szCs w:val="15"/>
              </w:rPr>
              <w:t xml:space="preserve">铜冶炼工艺 (铜精矿- 阴极铜)307.6（kgce/t） </w:t>
            </w:r>
            <w:r>
              <w:rPr>
                <w:rFonts w:hint="eastAsia" w:ascii="宋体" w:hAnsi="宋体" w:eastAsia="宋体" w:cs="宋体"/>
                <w:kern w:val="0"/>
                <w:sz w:val="15"/>
                <w:szCs w:val="15"/>
                <w:lang w:eastAsia="zh-CN"/>
              </w:rPr>
              <w:t>（</w:t>
            </w:r>
            <w:r>
              <w:rPr>
                <w:rFonts w:hint="eastAsia" w:ascii="宋体" w:hAnsi="宋体" w:eastAsia="宋体" w:cs="宋体"/>
                <w:kern w:val="0"/>
                <w:sz w:val="15"/>
                <w:szCs w:val="15"/>
              </w:rPr>
              <w:t>基准水平</w:t>
            </w:r>
            <w:r>
              <w:rPr>
                <w:rFonts w:hint="eastAsia" w:ascii="宋体" w:hAnsi="宋体" w:eastAsia="宋体" w:cs="宋体"/>
                <w:kern w:val="0"/>
                <w:sz w:val="15"/>
                <w:szCs w:val="15"/>
                <w:lang w:eastAsia="zh-CN"/>
              </w:rPr>
              <w:t>）</w:t>
            </w:r>
          </w:p>
        </w:tc>
        <w:tc>
          <w:tcPr>
            <w:tcW w:w="1895" w:type="dxa"/>
            <w:vMerge w:val="restart"/>
            <w:vAlign w:val="center"/>
          </w:tcPr>
          <w:p>
            <w:pPr>
              <w:widowControl/>
              <w:spacing w:line="240" w:lineRule="exact"/>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铜冶炼工序能耗</w:t>
            </w:r>
          </w:p>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color w:val="000000"/>
                <w:kern w:val="0"/>
                <w:sz w:val="15"/>
                <w:szCs w:val="15"/>
                <w:lang w:val="en-US" w:eastAsia="zh-CN"/>
              </w:rPr>
              <w:t>298</w:t>
            </w:r>
            <w:r>
              <w:rPr>
                <w:rFonts w:hint="eastAsia" w:ascii="宋体" w:hAnsi="宋体" w:eastAsia="宋体" w:cs="宋体"/>
                <w:color w:val="000000"/>
                <w:kern w:val="0"/>
                <w:sz w:val="15"/>
                <w:szCs w:val="15"/>
              </w:rPr>
              <w:t>（</w:t>
            </w:r>
            <w:r>
              <w:rPr>
                <w:rFonts w:hint="eastAsia" w:ascii="宋体" w:hAnsi="宋体" w:eastAsia="宋体" w:cs="Arial"/>
                <w:kern w:val="0"/>
                <w:sz w:val="15"/>
                <w:szCs w:val="15"/>
              </w:rPr>
              <w:t>kgce/t）</w:t>
            </w:r>
            <w:r>
              <w:rPr>
                <w:rFonts w:hint="eastAsia" w:ascii="宋体" w:hAnsi="宋体" w:eastAsia="宋体" w:cs="宋体"/>
                <w:color w:val="000000"/>
                <w:kern w:val="0"/>
                <w:sz w:val="15"/>
                <w:szCs w:val="15"/>
              </w:rPr>
              <w:t>（基准水平）</w:t>
            </w:r>
          </w:p>
        </w:tc>
        <w:tc>
          <w:tcPr>
            <w:tcW w:w="726" w:type="dxa"/>
            <w:vAlign w:val="center"/>
          </w:tcPr>
          <w:p>
            <w:pPr>
              <w:widowControl/>
              <w:spacing w:line="240" w:lineRule="exact"/>
              <w:jc w:val="center"/>
              <w:textAlignment w:val="center"/>
              <w:rPr>
                <w:rFonts w:hint="eastAsia" w:ascii="宋体" w:hAnsi="宋体" w:eastAsia="宋体" w:cs="宋体"/>
                <w:kern w:val="0"/>
                <w:sz w:val="15"/>
                <w:szCs w:val="15"/>
                <w:lang w:val="en" w:eastAsia="zh-CN" w:bidi="ar-SA"/>
              </w:rPr>
            </w:pPr>
            <w:r>
              <w:rPr>
                <w:rFonts w:hint="eastAsia" w:ascii="宋体" w:hAnsi="宋体" w:eastAsia="宋体" w:cs="宋体"/>
                <w:kern w:val="0"/>
                <w:sz w:val="15"/>
                <w:szCs w:val="15"/>
              </w:rPr>
              <w:t>改造</w:t>
            </w:r>
            <w:r>
              <w:rPr>
                <w:rFonts w:hint="eastAsia" w:ascii="宋体" w:hAnsi="宋体" w:eastAsia="宋体" w:cs="宋体"/>
                <w:kern w:val="0"/>
                <w:sz w:val="15"/>
                <w:szCs w:val="15"/>
                <w:lang w:eastAsia="zh-CN"/>
              </w:rPr>
              <w:t>升级</w:t>
            </w:r>
            <w:r>
              <w:rPr>
                <w:rFonts w:hint="eastAsia" w:ascii="宋体" w:hAnsi="宋体" w:eastAsia="宋体" w:cs="Arial"/>
                <w:kern w:val="0"/>
                <w:sz w:val="15"/>
                <w:szCs w:val="15"/>
                <w:lang w:eastAsia="zh-CN"/>
              </w:rPr>
              <w:t>（已实施）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rPr>
            </w:pPr>
          </w:p>
        </w:tc>
        <w:tc>
          <w:tcPr>
            <w:tcW w:w="958" w:type="dxa"/>
            <w:vMerge w:val="continue"/>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p>
        </w:tc>
        <w:tc>
          <w:tcPr>
            <w:tcW w:w="1223" w:type="dxa"/>
            <w:vMerge w:val="continue"/>
            <w:vAlign w:val="center"/>
          </w:tcPr>
          <w:p>
            <w:pPr>
              <w:widowControl/>
              <w:spacing w:line="240" w:lineRule="exact"/>
              <w:jc w:val="left"/>
              <w:textAlignment w:val="center"/>
              <w:rPr>
                <w:rFonts w:hint="eastAsia" w:ascii="宋体" w:hAnsi="宋体" w:eastAsia="宋体" w:cs="宋体"/>
                <w:kern w:val="2"/>
                <w:sz w:val="15"/>
                <w:szCs w:val="15"/>
                <w:lang w:val="en-US" w:eastAsia="zh-CN" w:bidi="ar-SA"/>
              </w:rPr>
            </w:pPr>
          </w:p>
        </w:tc>
        <w:tc>
          <w:tcPr>
            <w:tcW w:w="888" w:type="dxa"/>
            <w:vMerge w:val="continue"/>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p>
        </w:tc>
        <w:tc>
          <w:tcPr>
            <w:tcW w:w="1179" w:type="dxa"/>
            <w:vAlign w:val="center"/>
          </w:tcPr>
          <w:p>
            <w:pPr>
              <w:widowControl/>
              <w:spacing w:line="24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kern w:val="0"/>
                <w:sz w:val="15"/>
                <w:szCs w:val="15"/>
                <w:lang w:eastAsia="zh-CN"/>
              </w:rPr>
              <w:t>落后电机淘汰更新</w:t>
            </w:r>
          </w:p>
        </w:tc>
        <w:tc>
          <w:tcPr>
            <w:tcW w:w="819"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315.89</w:t>
            </w:r>
          </w:p>
        </w:tc>
        <w:tc>
          <w:tcPr>
            <w:tcW w:w="640"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属于国家淘汰高耗能设备，根据国家强制性要求进行逐步淘汰，于2025年全部更新完成。</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2023年</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2025年</w:t>
            </w:r>
          </w:p>
        </w:tc>
        <w:tc>
          <w:tcPr>
            <w:tcW w:w="1729" w:type="dxa"/>
            <w:vMerge w:val="continue"/>
            <w:vAlign w:val="center"/>
          </w:tcPr>
          <w:p>
            <w:pPr>
              <w:widowControl/>
              <w:spacing w:line="240" w:lineRule="exact"/>
              <w:jc w:val="center"/>
              <w:textAlignment w:val="center"/>
              <w:rPr>
                <w:rFonts w:hint="eastAsia" w:ascii="宋体" w:hAnsi="宋体" w:eastAsia="宋体" w:cs="宋体"/>
                <w:color w:val="000000"/>
                <w:kern w:val="0"/>
                <w:sz w:val="15"/>
                <w:szCs w:val="15"/>
                <w:lang w:val="en-US" w:eastAsia="zh-CN" w:bidi="ar-SA"/>
              </w:rPr>
            </w:pPr>
          </w:p>
        </w:tc>
        <w:tc>
          <w:tcPr>
            <w:tcW w:w="1895" w:type="dxa"/>
            <w:vMerge w:val="continue"/>
            <w:vAlign w:val="center"/>
          </w:tcPr>
          <w:p>
            <w:pPr>
              <w:widowControl/>
              <w:spacing w:line="240" w:lineRule="exact"/>
              <w:jc w:val="center"/>
              <w:textAlignment w:val="center"/>
              <w:rPr>
                <w:rFonts w:hint="eastAsia" w:ascii="宋体" w:hAnsi="宋体" w:eastAsia="宋体" w:cs="宋体"/>
                <w:color w:val="000000"/>
                <w:kern w:val="0"/>
                <w:sz w:val="15"/>
                <w:szCs w:val="15"/>
                <w:lang w:val="en-US" w:eastAsia="zh-CN" w:bidi="ar-SA"/>
              </w:rPr>
            </w:pPr>
          </w:p>
        </w:tc>
        <w:tc>
          <w:tcPr>
            <w:tcW w:w="726" w:type="dxa"/>
            <w:vAlign w:val="center"/>
          </w:tcPr>
          <w:p>
            <w:pPr>
              <w:widowControl/>
              <w:spacing w:line="240" w:lineRule="exact"/>
              <w:jc w:val="center"/>
              <w:textAlignment w:val="center"/>
              <w:rPr>
                <w:rFonts w:hint="eastAsia" w:ascii="宋体" w:hAnsi="宋体" w:eastAsia="宋体" w:cs="宋体"/>
                <w:kern w:val="0"/>
                <w:sz w:val="15"/>
                <w:szCs w:val="15"/>
                <w:lang w:val="en" w:eastAsia="zh-CN" w:bidi="ar-SA"/>
              </w:rPr>
            </w:pPr>
            <w:r>
              <w:rPr>
                <w:rFonts w:hint="eastAsia" w:ascii="宋体" w:hAnsi="宋体" w:eastAsia="宋体" w:cs="宋体"/>
                <w:kern w:val="0"/>
                <w:sz w:val="15"/>
                <w:szCs w:val="15"/>
                <w:lang w:val="en" w:eastAsia="zh-CN" w:bidi="ar-SA"/>
              </w:rPr>
              <w:t>淘汰设备更新</w:t>
            </w:r>
          </w:p>
        </w:tc>
      </w:tr>
    </w:tbl>
    <w:p>
      <w:pPr>
        <w:pStyle w:val="2"/>
        <w:rPr>
          <w:rFonts w:hint="default"/>
          <w:lang w:val="en-US" w:eastAsia="zh-CN"/>
        </w:rPr>
      </w:pPr>
    </w:p>
    <w:p>
      <w:pPr>
        <w:rPr>
          <w:rFonts w:hint="default"/>
        </w:rPr>
      </w:pPr>
    </w:p>
    <w:p>
      <w:pPr>
        <w:pStyle w:val="2"/>
        <w:rPr>
          <w:rFonts w:hint="default" w:ascii="Times New Roman" w:hAnsi="Times New Roman" w:eastAsia="仿宋_GB2312" w:cs="Times New Roman"/>
          <w:sz w:val="32"/>
          <w:szCs w:val="32"/>
        </w:rPr>
      </w:pPr>
    </w:p>
    <w:p>
      <w:pPr>
        <w:rPr>
          <w:rFonts w:hint="default"/>
        </w:rPr>
      </w:pPr>
    </w:p>
    <w:sectPr>
      <w:pgSz w:w="16838" w:h="11906" w:orient="landscape"/>
      <w:pgMar w:top="1803" w:right="1440" w:bottom="1803" w:left="1440"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EastAsia" w:hAnsiTheme="majorEastAsia" w:eastAsiaTheme="majorEastAsia"/>
        <w:sz w:val="28"/>
        <w:szCs w:val="28"/>
      </w:rPr>
      <w:id w:val="1629123608"/>
      <w:docPartObj>
        <w:docPartGallery w:val="autotext"/>
      </w:docPartObj>
    </w:sdtPr>
    <w:sdtEndPr>
      <w:rPr>
        <w:rFonts w:asciiTheme="majorEastAsia" w:hAnsiTheme="majorEastAsia" w:eastAsiaTheme="majorEastAsia"/>
        <w:sz w:val="28"/>
        <w:szCs w:val="28"/>
      </w:rPr>
    </w:sdtEndPr>
    <w:sdtContent>
      <w:p>
        <w:pPr>
          <w:pStyle w:val="5"/>
          <w:jc w:val="center"/>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1 -</w:t>
        </w:r>
        <w:r>
          <w:rPr>
            <w:rFonts w:asciiTheme="majorEastAsia" w:hAnsiTheme="majorEastAsia" w:eastAsiaTheme="majorEastAsia"/>
            <w:sz w:val="28"/>
            <w:szCs w:val="28"/>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FF92E2"/>
    <w:multiLevelType w:val="singleLevel"/>
    <w:tmpl w:val="F7FF92E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documentProtection w:enforcement="0"/>
  <w:defaultTabStop w:val="420"/>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1N2VhYWVjNjMwNDhlY2JjZTljYmUzYjgzZTBlYzgifQ=="/>
  </w:docVars>
  <w:rsids>
    <w:rsidRoot w:val="007751F1"/>
    <w:rsid w:val="0036334D"/>
    <w:rsid w:val="003C5AD6"/>
    <w:rsid w:val="003C71AB"/>
    <w:rsid w:val="00471AE7"/>
    <w:rsid w:val="00681678"/>
    <w:rsid w:val="006F7E57"/>
    <w:rsid w:val="007751F1"/>
    <w:rsid w:val="00890CF3"/>
    <w:rsid w:val="008B0A82"/>
    <w:rsid w:val="00A07EA1"/>
    <w:rsid w:val="00B32BBD"/>
    <w:rsid w:val="00BA765F"/>
    <w:rsid w:val="00C42CC7"/>
    <w:rsid w:val="00C956AE"/>
    <w:rsid w:val="00CF6094"/>
    <w:rsid w:val="00E54EC7"/>
    <w:rsid w:val="00EB094F"/>
    <w:rsid w:val="00ED4F7C"/>
    <w:rsid w:val="015012F5"/>
    <w:rsid w:val="01FF6D7B"/>
    <w:rsid w:val="034A4E6C"/>
    <w:rsid w:val="034A70C0"/>
    <w:rsid w:val="07FF9235"/>
    <w:rsid w:val="09BFF375"/>
    <w:rsid w:val="0A8A06EA"/>
    <w:rsid w:val="1249556D"/>
    <w:rsid w:val="13D7B602"/>
    <w:rsid w:val="13FD67D7"/>
    <w:rsid w:val="14FC63EE"/>
    <w:rsid w:val="1514752E"/>
    <w:rsid w:val="155D764A"/>
    <w:rsid w:val="1677EF47"/>
    <w:rsid w:val="1DE626E7"/>
    <w:rsid w:val="1DF06450"/>
    <w:rsid w:val="1E773C29"/>
    <w:rsid w:val="1F35A2BA"/>
    <w:rsid w:val="1FB7E7EB"/>
    <w:rsid w:val="1FBC8249"/>
    <w:rsid w:val="22034BB2"/>
    <w:rsid w:val="27982240"/>
    <w:rsid w:val="27A40BE5"/>
    <w:rsid w:val="27E500BA"/>
    <w:rsid w:val="2AB472A1"/>
    <w:rsid w:val="2D7C77D5"/>
    <w:rsid w:val="2E041165"/>
    <w:rsid w:val="2EDF5D7C"/>
    <w:rsid w:val="2F0361F1"/>
    <w:rsid w:val="2FDE18B4"/>
    <w:rsid w:val="2FF72109"/>
    <w:rsid w:val="31FF1D6C"/>
    <w:rsid w:val="333B072A"/>
    <w:rsid w:val="34FF3918"/>
    <w:rsid w:val="3620434A"/>
    <w:rsid w:val="373AF729"/>
    <w:rsid w:val="37BA8AB3"/>
    <w:rsid w:val="3AC97FC5"/>
    <w:rsid w:val="3BD6B50A"/>
    <w:rsid w:val="3D0F4A24"/>
    <w:rsid w:val="3D7F7188"/>
    <w:rsid w:val="3DD7850C"/>
    <w:rsid w:val="3E563FE3"/>
    <w:rsid w:val="3EFFFED2"/>
    <w:rsid w:val="3F7FBB27"/>
    <w:rsid w:val="3FC7967F"/>
    <w:rsid w:val="3FF97830"/>
    <w:rsid w:val="4148320D"/>
    <w:rsid w:val="4529115C"/>
    <w:rsid w:val="45FEA809"/>
    <w:rsid w:val="46E10CA3"/>
    <w:rsid w:val="46FB6F55"/>
    <w:rsid w:val="477B3A94"/>
    <w:rsid w:val="48928D13"/>
    <w:rsid w:val="4A0634DC"/>
    <w:rsid w:val="4EEA19FD"/>
    <w:rsid w:val="4FEEECDC"/>
    <w:rsid w:val="534D55F6"/>
    <w:rsid w:val="557748B3"/>
    <w:rsid w:val="56FFA4E1"/>
    <w:rsid w:val="57030BD5"/>
    <w:rsid w:val="574C1C9E"/>
    <w:rsid w:val="57EEEB01"/>
    <w:rsid w:val="57FFEEF9"/>
    <w:rsid w:val="59FF2BA1"/>
    <w:rsid w:val="5AAF8B66"/>
    <w:rsid w:val="5BC77DF4"/>
    <w:rsid w:val="5BDCA10A"/>
    <w:rsid w:val="5D6F4D26"/>
    <w:rsid w:val="5D7629E4"/>
    <w:rsid w:val="5D7BFD87"/>
    <w:rsid w:val="5DE56B57"/>
    <w:rsid w:val="5E180F83"/>
    <w:rsid w:val="5EA7C7AA"/>
    <w:rsid w:val="5EFD341F"/>
    <w:rsid w:val="5F0F64A4"/>
    <w:rsid w:val="5F5F3A7F"/>
    <w:rsid w:val="5F7DCF5E"/>
    <w:rsid w:val="5FDD6CE4"/>
    <w:rsid w:val="5FFF9366"/>
    <w:rsid w:val="65180AF8"/>
    <w:rsid w:val="659BC3E4"/>
    <w:rsid w:val="65AFA63D"/>
    <w:rsid w:val="65EB8FF0"/>
    <w:rsid w:val="679F587C"/>
    <w:rsid w:val="699029A4"/>
    <w:rsid w:val="6C4D60B4"/>
    <w:rsid w:val="6CF546C4"/>
    <w:rsid w:val="6DDD0450"/>
    <w:rsid w:val="6EBE8E15"/>
    <w:rsid w:val="6ECEAA86"/>
    <w:rsid w:val="6EEA37CD"/>
    <w:rsid w:val="6F3DB3BF"/>
    <w:rsid w:val="6F411E43"/>
    <w:rsid w:val="6F9B4F8C"/>
    <w:rsid w:val="6F9FF8BE"/>
    <w:rsid w:val="6FDCD221"/>
    <w:rsid w:val="6FEF314F"/>
    <w:rsid w:val="6FFF5DE9"/>
    <w:rsid w:val="6FFF7CEA"/>
    <w:rsid w:val="7129571A"/>
    <w:rsid w:val="72C15900"/>
    <w:rsid w:val="75FE0A23"/>
    <w:rsid w:val="76742F30"/>
    <w:rsid w:val="779657EF"/>
    <w:rsid w:val="785915BB"/>
    <w:rsid w:val="79779C2D"/>
    <w:rsid w:val="7B7B0B17"/>
    <w:rsid w:val="7B7DFD8D"/>
    <w:rsid w:val="7BDF22DF"/>
    <w:rsid w:val="7BF6B79A"/>
    <w:rsid w:val="7BFB2511"/>
    <w:rsid w:val="7BFBAF98"/>
    <w:rsid w:val="7C7FB7C4"/>
    <w:rsid w:val="7D5BA112"/>
    <w:rsid w:val="7D7B976C"/>
    <w:rsid w:val="7D8E676D"/>
    <w:rsid w:val="7DEF5F40"/>
    <w:rsid w:val="7E3FFE3E"/>
    <w:rsid w:val="7EB71006"/>
    <w:rsid w:val="7EDD05DD"/>
    <w:rsid w:val="7EDF52B5"/>
    <w:rsid w:val="7EE2F756"/>
    <w:rsid w:val="7EEBE078"/>
    <w:rsid w:val="7EEFC5D8"/>
    <w:rsid w:val="7EFFFDC2"/>
    <w:rsid w:val="7F6F47C6"/>
    <w:rsid w:val="7F7B76AC"/>
    <w:rsid w:val="7F7F1F54"/>
    <w:rsid w:val="7F9743CE"/>
    <w:rsid w:val="7FAB2556"/>
    <w:rsid w:val="7FBB60DF"/>
    <w:rsid w:val="7FBEEFD5"/>
    <w:rsid w:val="7FBF0046"/>
    <w:rsid w:val="7FCE78B6"/>
    <w:rsid w:val="7FDDCF3C"/>
    <w:rsid w:val="7FDE7340"/>
    <w:rsid w:val="7FEE6C58"/>
    <w:rsid w:val="7FEF2EC7"/>
    <w:rsid w:val="7FEFA504"/>
    <w:rsid w:val="7FF27D13"/>
    <w:rsid w:val="7FF526DE"/>
    <w:rsid w:val="7FF8B266"/>
    <w:rsid w:val="7FFB9690"/>
    <w:rsid w:val="7FFD85ED"/>
    <w:rsid w:val="7FFF25AD"/>
    <w:rsid w:val="877F8327"/>
    <w:rsid w:val="8FFFF42D"/>
    <w:rsid w:val="9B73E110"/>
    <w:rsid w:val="9D3D3002"/>
    <w:rsid w:val="9FDB79A7"/>
    <w:rsid w:val="9FF3E4EC"/>
    <w:rsid w:val="9FF4E726"/>
    <w:rsid w:val="ABFF85A7"/>
    <w:rsid w:val="AF4955C0"/>
    <w:rsid w:val="AFDFBDE8"/>
    <w:rsid w:val="AFFFC096"/>
    <w:rsid w:val="B2FFD12B"/>
    <w:rsid w:val="B39C9A1B"/>
    <w:rsid w:val="B3EC4B19"/>
    <w:rsid w:val="B3FE59A6"/>
    <w:rsid w:val="B6C99DDD"/>
    <w:rsid w:val="B77F34B1"/>
    <w:rsid w:val="B7F25EF9"/>
    <w:rsid w:val="BA7B23C6"/>
    <w:rsid w:val="BADFDA4B"/>
    <w:rsid w:val="BB7F66BA"/>
    <w:rsid w:val="BDE6B2B4"/>
    <w:rsid w:val="BDF9B537"/>
    <w:rsid w:val="BDFF2F9A"/>
    <w:rsid w:val="BEF1F64D"/>
    <w:rsid w:val="BEFAEF6D"/>
    <w:rsid w:val="BFDC6E5B"/>
    <w:rsid w:val="BFF263CE"/>
    <w:rsid w:val="BFFD1424"/>
    <w:rsid w:val="C5570647"/>
    <w:rsid w:val="C7FD8240"/>
    <w:rsid w:val="C91B13E0"/>
    <w:rsid w:val="CE7F8F9F"/>
    <w:rsid w:val="CEEE9806"/>
    <w:rsid w:val="CF537E60"/>
    <w:rsid w:val="D2DF76FA"/>
    <w:rsid w:val="D4DB2031"/>
    <w:rsid w:val="D7B65234"/>
    <w:rsid w:val="D7E4C4BE"/>
    <w:rsid w:val="D7FFF875"/>
    <w:rsid w:val="D9FD4BA2"/>
    <w:rsid w:val="DAFD4421"/>
    <w:rsid w:val="DBAF02D2"/>
    <w:rsid w:val="DBBD9502"/>
    <w:rsid w:val="DDDB9EDC"/>
    <w:rsid w:val="DE632274"/>
    <w:rsid w:val="DF7D0F9E"/>
    <w:rsid w:val="DFDF6693"/>
    <w:rsid w:val="DFFE3EEE"/>
    <w:rsid w:val="E5F71EB3"/>
    <w:rsid w:val="E6F624A9"/>
    <w:rsid w:val="E7FF2ACB"/>
    <w:rsid w:val="E7FFB997"/>
    <w:rsid w:val="EBDF66D5"/>
    <w:rsid w:val="EE765A35"/>
    <w:rsid w:val="EE7BCF52"/>
    <w:rsid w:val="EEADC7A7"/>
    <w:rsid w:val="EEBC00A5"/>
    <w:rsid w:val="EF7B25C5"/>
    <w:rsid w:val="EFF9DDB1"/>
    <w:rsid w:val="EFFFD39B"/>
    <w:rsid w:val="F0DDCB6B"/>
    <w:rsid w:val="F1B1768D"/>
    <w:rsid w:val="F1FFFC95"/>
    <w:rsid w:val="F6CD77B9"/>
    <w:rsid w:val="F736F728"/>
    <w:rsid w:val="F77B3AE1"/>
    <w:rsid w:val="F77EFD24"/>
    <w:rsid w:val="F7DF6751"/>
    <w:rsid w:val="F9E38AD8"/>
    <w:rsid w:val="FA476583"/>
    <w:rsid w:val="FAAFC600"/>
    <w:rsid w:val="FAF96B5D"/>
    <w:rsid w:val="FBAFA71A"/>
    <w:rsid w:val="FBD9DD03"/>
    <w:rsid w:val="FBEE4A58"/>
    <w:rsid w:val="FBFFECA9"/>
    <w:rsid w:val="FD9BA98C"/>
    <w:rsid w:val="FDBF9625"/>
    <w:rsid w:val="FDF5F418"/>
    <w:rsid w:val="FDFF4CE7"/>
    <w:rsid w:val="FE253C3E"/>
    <w:rsid w:val="FE734873"/>
    <w:rsid w:val="FEB5D971"/>
    <w:rsid w:val="FEBB4F58"/>
    <w:rsid w:val="FEDD79EE"/>
    <w:rsid w:val="FEFFA907"/>
    <w:rsid w:val="FF3F4AFC"/>
    <w:rsid w:val="FF5D077B"/>
    <w:rsid w:val="FF7EF2C3"/>
    <w:rsid w:val="FF7F0AF5"/>
    <w:rsid w:val="FFB695C0"/>
    <w:rsid w:val="FFE9464B"/>
    <w:rsid w:val="FFEC56C6"/>
    <w:rsid w:val="FFF707FE"/>
    <w:rsid w:val="FFFE3501"/>
    <w:rsid w:val="FFFE85D0"/>
    <w:rsid w:val="FFFFC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Heading2"/>
    <w:basedOn w:val="1"/>
    <w:next w:val="1"/>
    <w:qFormat/>
    <w:uiPriority w:val="0"/>
    <w:pPr>
      <w:keepNext/>
      <w:keepLines/>
      <w:widowControl/>
      <w:spacing w:before="260" w:after="260" w:line="416" w:lineRule="auto"/>
      <w:textAlignment w:val="baseline"/>
    </w:pPr>
    <w:rPr>
      <w:rFonts w:ascii="Arial" w:hAnsi="Arial" w:eastAsia="黑体" w:cs="Times New Roman"/>
      <w:b/>
      <w:bCs/>
      <w:sz w:val="32"/>
      <w:szCs w:val="32"/>
    </w:rPr>
  </w:style>
  <w:style w:type="paragraph" w:styleId="4">
    <w:name w:val="Body Text"/>
    <w:basedOn w:val="1"/>
    <w:qFormat/>
    <w:uiPriority w:val="0"/>
    <w:rPr>
      <w:rFonts w:ascii="Calibri" w:hAnsi="Calibri" w:eastAsia="宋体"/>
      <w:szCs w:val="24"/>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table" w:customStyle="1" w:styleId="14">
    <w:name w:val="Table Normal"/>
    <w:semiHidden/>
    <w:unhideWhenUsed/>
    <w:qFormat/>
    <w:uiPriority w:val="0"/>
    <w:tblPr>
      <w:tblCellMar>
        <w:top w:w="0" w:type="dxa"/>
        <w:left w:w="0" w:type="dxa"/>
        <w:bottom w:w="0" w:type="dxa"/>
        <w:right w:w="0" w:type="dxa"/>
      </w:tblCellMar>
    </w:tblPr>
  </w:style>
  <w:style w:type="character" w:customStyle="1" w:styleId="15">
    <w:name w:val="font21"/>
    <w:basedOn w:val="10"/>
    <w:qFormat/>
    <w:uiPriority w:val="0"/>
    <w:rPr>
      <w:rFonts w:hint="eastAsia" w:ascii="宋体" w:hAnsi="宋体" w:eastAsia="宋体" w:cs="宋体"/>
      <w:color w:val="000000"/>
      <w:sz w:val="20"/>
      <w:szCs w:val="20"/>
      <w:u w:val="none"/>
    </w:rPr>
  </w:style>
  <w:style w:type="character" w:customStyle="1" w:styleId="16">
    <w:name w:val="font61"/>
    <w:basedOn w:val="10"/>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11363</Words>
  <Characters>13233</Characters>
  <Lines>63</Lines>
  <Paragraphs>17</Paragraphs>
  <TotalTime>0</TotalTime>
  <ScaleCrop>false</ScaleCrop>
  <LinksUpToDate>false</LinksUpToDate>
  <CharactersWithSpaces>13451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2022-08-19T09:13:00Z</dcterms:created>
  <dc:creator>GQ</dc:creator>
  <cp:lastModifiedBy>user</cp:lastModifiedBy>
  <dcterms:modified xsi:type="dcterms:W3CDTF">2023-04-23T14:00:07Z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02647765516C4772A93327A73081B411</vt:lpwstr>
  </property>
</Properties>
</file>