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青海省</w:t>
      </w:r>
      <w:r>
        <w:rPr>
          <w:rFonts w:hint="eastAsia" w:ascii="Times New Roman" w:hAnsi="Times New Roman" w:eastAsia="方正小标宋简体" w:cs="Times New Roman"/>
          <w:sz w:val="44"/>
          <w:szCs w:val="44"/>
          <w:lang w:eastAsia="zh-CN"/>
        </w:rPr>
        <w:t>重点领域</w:t>
      </w:r>
      <w:r>
        <w:rPr>
          <w:rFonts w:hint="eastAsia" w:ascii="Times New Roman" w:hAnsi="Times New Roman" w:eastAsia="方正小标宋简体" w:cs="Times New Roman"/>
          <w:sz w:val="44"/>
          <w:szCs w:val="44"/>
          <w:lang w:val="en-US" w:eastAsia="zh-CN"/>
        </w:rPr>
        <w:t>建材</w:t>
      </w:r>
      <w:r>
        <w:rPr>
          <w:rFonts w:hint="eastAsia" w:ascii="Times New Roman" w:hAnsi="Times New Roman" w:eastAsia="方正小标宋简体" w:cs="Times New Roman"/>
          <w:sz w:val="44"/>
          <w:szCs w:val="44"/>
          <w:lang w:eastAsia="zh-CN"/>
        </w:rPr>
        <w:t>行业</w:t>
      </w:r>
      <w:r>
        <w:rPr>
          <w:rFonts w:hint="default" w:ascii="Times New Roman" w:hAnsi="Times New Roman" w:eastAsia="方正小标宋简体" w:cs="Times New Roman"/>
          <w:sz w:val="44"/>
          <w:szCs w:val="44"/>
          <w:lang w:eastAsia="zh-CN"/>
        </w:rPr>
        <w:t>节能降碳</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技术改造</w:t>
      </w:r>
      <w:r>
        <w:rPr>
          <w:rFonts w:hint="eastAsia" w:ascii="Times New Roman" w:hAnsi="Times New Roman" w:eastAsia="方正小标宋简体" w:cs="Times New Roman"/>
          <w:sz w:val="44"/>
          <w:szCs w:val="44"/>
          <w:lang w:eastAsia="zh-CN"/>
        </w:rPr>
        <w:t>工作</w:t>
      </w:r>
      <w:r>
        <w:rPr>
          <w:rFonts w:hint="default" w:ascii="Times New Roman" w:hAnsi="Times New Roman" w:eastAsia="方正小标宋简体" w:cs="Times New Roman"/>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val="en-US" w:eastAsia="zh-CN"/>
        </w:rPr>
        <w:t>为坚决遏制“两高”项目盲目发展，推动我省</w:t>
      </w:r>
      <w:r>
        <w:rPr>
          <w:rFonts w:hint="eastAsia" w:ascii="仿宋_GB2312" w:hAnsi="仿宋_GB2312" w:eastAsia="仿宋_GB2312" w:cs="仿宋_GB2312"/>
          <w:sz w:val="32"/>
          <w:szCs w:val="32"/>
          <w:lang w:val="en-US" w:eastAsia="zh-CN"/>
        </w:rPr>
        <w:t>建材</w:t>
      </w:r>
      <w:r>
        <w:rPr>
          <w:rFonts w:hint="eastAsia" w:ascii="仿宋_GB2312" w:hAnsi="仿宋_GB2312" w:eastAsia="仿宋_GB2312" w:cs="仿宋_GB2312"/>
          <w:color w:val="auto"/>
          <w:kern w:val="0"/>
          <w:sz w:val="32"/>
          <w:szCs w:val="32"/>
          <w:lang w:val="en-US" w:eastAsia="zh-CN"/>
        </w:rPr>
        <w:t>行业</w:t>
      </w:r>
      <w:r>
        <w:rPr>
          <w:rFonts w:hint="eastAsia" w:ascii="仿宋_GB2312" w:hAnsi="仿宋_GB2312" w:eastAsia="仿宋_GB2312" w:cs="仿宋_GB2312"/>
          <w:sz w:val="32"/>
          <w:szCs w:val="32"/>
          <w:lang w:eastAsia="zh-CN"/>
        </w:rPr>
        <w:t>节能降碳和绿色转型，依据《青海省严格能效约束推动重点领域节能降碳技术改造实施方案（2021-2025年）》（青发改产业〔2021〕848号）和《青海省重点领域企业</w:t>
      </w:r>
      <w:r>
        <w:rPr>
          <w:rFonts w:hint="eastAsia" w:ascii="仿宋_GB2312" w:hAnsi="仿宋_GB2312" w:eastAsia="仿宋_GB2312" w:cs="仿宋_GB2312"/>
          <w:sz w:val="32"/>
          <w:szCs w:val="32"/>
          <w:lang w:val="en-US" w:eastAsia="zh-CN"/>
        </w:rPr>
        <w:t>节能降碳</w:t>
      </w:r>
      <w:r>
        <w:rPr>
          <w:rFonts w:hint="eastAsia" w:ascii="仿宋_GB2312" w:hAnsi="仿宋_GB2312" w:eastAsia="仿宋_GB2312" w:cs="仿宋_GB2312"/>
          <w:sz w:val="32"/>
          <w:szCs w:val="32"/>
          <w:lang w:eastAsia="zh-CN"/>
        </w:rPr>
        <w:t>技术改造</w:t>
      </w:r>
      <w:r>
        <w:rPr>
          <w:rFonts w:hint="eastAsia" w:ascii="仿宋_GB2312" w:hAnsi="仿宋_GB2312" w:eastAsia="仿宋_GB2312" w:cs="仿宋_GB2312"/>
          <w:sz w:val="32"/>
          <w:szCs w:val="32"/>
          <w:lang w:val="en-US" w:eastAsia="zh-CN"/>
        </w:rPr>
        <w:t>总体</w:t>
      </w:r>
      <w:r>
        <w:rPr>
          <w:rFonts w:hint="eastAsia" w:ascii="仿宋_GB2312" w:hAnsi="仿宋_GB2312" w:eastAsia="仿宋_GB2312" w:cs="仿宋_GB2312"/>
          <w:sz w:val="32"/>
          <w:szCs w:val="32"/>
          <w:lang w:eastAsia="zh-CN"/>
        </w:rPr>
        <w:t>实施方案》，制定本方案。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全省现有重点领域</w:t>
      </w:r>
      <w:r>
        <w:rPr>
          <w:rFonts w:hint="eastAsia" w:ascii="仿宋_GB2312" w:hAnsi="仿宋_GB2312" w:eastAsia="仿宋_GB2312" w:cs="仿宋_GB2312"/>
          <w:sz w:val="32"/>
          <w:szCs w:val="32"/>
          <w:lang w:val="en-US" w:eastAsia="zh-CN"/>
        </w:rPr>
        <w:t>建材企业14户，其中水泥生产企业13户，</w:t>
      </w:r>
      <w:r>
        <w:rPr>
          <w:rFonts w:hint="eastAsia" w:ascii="仿宋_GB2312" w:hAnsi="仿宋_GB2312" w:eastAsia="仿宋_GB2312" w:cs="仿宋_GB2312"/>
          <w:spacing w:val="-4"/>
          <w:sz w:val="32"/>
          <w:szCs w:val="30"/>
          <w:lang w:eastAsia="zh-CN"/>
        </w:rPr>
        <w:t>设计总产能</w:t>
      </w:r>
      <w:r>
        <w:rPr>
          <w:rFonts w:hint="eastAsia" w:ascii="仿宋_GB2312" w:hAnsi="仿宋_GB2312" w:eastAsia="仿宋_GB2312" w:cs="仿宋_GB2312"/>
          <w:spacing w:val="-4"/>
          <w:sz w:val="32"/>
          <w:szCs w:val="30"/>
          <w:lang w:val="en-US" w:eastAsia="zh-CN"/>
        </w:rPr>
        <w:t>1760万吨</w:t>
      </w:r>
      <w:r>
        <w:rPr>
          <w:rFonts w:hint="eastAsia" w:ascii="仿宋_GB2312" w:hAnsi="仿宋_GB2312" w:eastAsia="仿宋_GB2312" w:cs="仿宋_GB2312"/>
          <w:sz w:val="32"/>
          <w:szCs w:val="32"/>
          <w:lang w:val="en-US" w:eastAsia="zh-CN"/>
        </w:rPr>
        <w:t>，6户水泥企业能效达到标杆值，6户水泥企业能效达到基准值，1户水泥企业停产；平板玻璃生产企业1户，</w:t>
      </w:r>
      <w:r>
        <w:rPr>
          <w:rFonts w:hint="eastAsia" w:ascii="仿宋_GB2312" w:hAnsi="仿宋_GB2312" w:eastAsia="仿宋_GB2312" w:cs="仿宋_GB2312"/>
          <w:spacing w:val="-4"/>
          <w:sz w:val="32"/>
          <w:szCs w:val="30"/>
          <w:lang w:eastAsia="zh-CN"/>
        </w:rPr>
        <w:t>设计产能</w:t>
      </w:r>
      <w:r>
        <w:rPr>
          <w:rFonts w:hint="eastAsia" w:ascii="仿宋_GB2312" w:hAnsi="仿宋_GB2312" w:eastAsia="仿宋_GB2312" w:cs="仿宋_GB2312"/>
          <w:spacing w:val="-4"/>
          <w:sz w:val="32"/>
          <w:szCs w:val="30"/>
          <w:lang w:val="en-US" w:eastAsia="zh-CN"/>
        </w:rPr>
        <w:t>360万重量箱</w:t>
      </w:r>
      <w:r>
        <w:rPr>
          <w:rFonts w:hint="eastAsia" w:ascii="仿宋_GB2312" w:hAnsi="仿宋_GB2312" w:eastAsia="仿宋_GB2312" w:cs="仿宋_GB2312"/>
          <w:sz w:val="32"/>
          <w:szCs w:val="32"/>
          <w:lang w:val="en-US" w:eastAsia="zh-CN"/>
        </w:rPr>
        <w:t>，能效达到基准水平。（详见附件</w:t>
      </w:r>
      <w:r>
        <w:rPr>
          <w:rFonts w:hint="eastAsia"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到2025年，现有水泥、平板玻璃</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要依据各自技术改造方案明确的技术路线，按照时间节点稳步推进技改工作，达到预期目标。民和祁连山水泥有限公司、青海省新型建材工贸有限责任公司实施技术改造后，能效达到标杆水平，其它建材企业能效力争达到标杆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default"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lang w:eastAsia="zh-CN"/>
        </w:rPr>
        <w:t>重点任务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分类推动能效水平提升</w:t>
      </w:r>
      <w:r>
        <w:rPr>
          <w:rFonts w:hint="eastAsia" w:ascii="Times New Roman" w:hAnsi="Times New Roman" w:eastAsia="楷体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val="en-US" w:eastAsia="zh-CN"/>
        </w:rPr>
        <w:t>省、市（州）工信部门要根据《青海省建材领域企业节能技术改造项目清单》（详见附件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kern w:val="0"/>
          <w:sz w:val="32"/>
          <w:szCs w:val="32"/>
          <w:lang w:val="en-US" w:eastAsia="zh-CN"/>
        </w:rPr>
        <w:t>），认真组织企业分年度实施项目建设，分类做好企业能效水平提升工作。</w:t>
      </w: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督促现有水泥、平板玻璃企业</w:t>
      </w:r>
      <w:r>
        <w:rPr>
          <w:rFonts w:hint="eastAsia" w:ascii="仿宋_GB2312" w:hAnsi="仿宋_GB2312" w:eastAsia="仿宋_GB2312" w:cs="仿宋_GB2312"/>
          <w:color w:val="auto"/>
          <w:sz w:val="32"/>
          <w:szCs w:val="32"/>
          <w:highlight w:val="none"/>
          <w:lang w:eastAsia="zh-CN"/>
        </w:rPr>
        <w:t>加快技术改造进程</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highlight w:val="none"/>
          <w:lang w:eastAsia="zh-CN"/>
        </w:rPr>
        <w:t>积极协助企业解决改造过程中存在的问题；跟踪掌握企业项目实施情况，及时补充完善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lang w:eastAsia="zh-CN"/>
        </w:rPr>
        <w:t>技术改造项目清单；对已完成技术改造的，</w:t>
      </w:r>
      <w:r>
        <w:rPr>
          <w:rFonts w:hint="eastAsia" w:ascii="仿宋_GB2312" w:hAnsi="仿宋_GB2312" w:eastAsia="仿宋_GB2312" w:cs="仿宋_GB2312"/>
          <w:color w:val="auto"/>
          <w:kern w:val="0"/>
          <w:sz w:val="32"/>
          <w:szCs w:val="32"/>
          <w:lang w:val="en-US" w:eastAsia="zh-CN"/>
        </w:rPr>
        <w:t>由属地工信部门及时核实能效水平，向省工信厅报送更新能效清单目录。</w:t>
      </w: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sz w:val="32"/>
          <w:szCs w:val="32"/>
          <w:lang w:eastAsia="zh-CN"/>
        </w:rPr>
        <w:t>对新建项目，</w:t>
      </w:r>
      <w:r>
        <w:rPr>
          <w:rFonts w:hint="eastAsia" w:ascii="仿宋_GB2312" w:hAnsi="仿宋_GB2312" w:eastAsia="仿宋_GB2312" w:cs="仿宋_GB2312"/>
          <w:color w:val="auto"/>
          <w:sz w:val="32"/>
          <w:szCs w:val="32"/>
          <w:highlight w:val="none"/>
          <w:lang w:eastAsia="zh-CN"/>
        </w:rPr>
        <w:t>要严把项目准入关口</w:t>
      </w:r>
      <w:r>
        <w:rPr>
          <w:rFonts w:hint="eastAsia" w:ascii="仿宋_GB2312" w:hAnsi="仿宋_GB2312" w:eastAsia="仿宋_GB2312" w:cs="仿宋_GB2312"/>
          <w:sz w:val="32"/>
          <w:szCs w:val="32"/>
          <w:lang w:eastAsia="zh-CN"/>
        </w:rPr>
        <w:t>，强化项目节能审查，新建项目能效水平原则上应达到标杆水平。</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在建项目，确保</w:t>
      </w:r>
      <w:r>
        <w:rPr>
          <w:rFonts w:hint="eastAsia" w:ascii="仿宋_GB2312" w:hAnsi="仿宋_GB2312" w:eastAsia="仿宋_GB2312" w:cs="仿宋_GB2312"/>
          <w:color w:val="auto"/>
          <w:sz w:val="32"/>
          <w:szCs w:val="32"/>
          <w:highlight w:val="none"/>
        </w:rPr>
        <w:t>能效水平低于本行业能耗限额准入值，力争达到标杆水平。</w:t>
      </w:r>
      <w:r>
        <w:rPr>
          <w:rFonts w:hint="eastAsia" w:ascii="仿宋_GB2312" w:hAnsi="仿宋_GB2312" w:eastAsia="仿宋_GB2312" w:cs="仿宋_GB2312"/>
          <w:sz w:val="32"/>
          <w:szCs w:val="32"/>
          <w:lang w:eastAsia="zh-CN"/>
        </w:rPr>
        <w:t>新建、</w:t>
      </w:r>
      <w:r>
        <w:rPr>
          <w:rFonts w:hint="eastAsia" w:ascii="仿宋_GB2312" w:hAnsi="仿宋_GB2312" w:eastAsia="仿宋_GB2312" w:cs="仿宋_GB2312"/>
          <w:color w:val="auto"/>
          <w:sz w:val="32"/>
          <w:szCs w:val="32"/>
          <w:highlight w:val="none"/>
          <w:lang w:eastAsia="zh-CN"/>
        </w:rPr>
        <w:t>在建</w:t>
      </w:r>
      <w:r>
        <w:rPr>
          <w:rFonts w:hint="eastAsia" w:ascii="仿宋_GB2312" w:hAnsi="仿宋_GB2312" w:eastAsia="仿宋_GB2312" w:cs="仿宋_GB2312"/>
          <w:sz w:val="32"/>
          <w:szCs w:val="32"/>
          <w:lang w:eastAsia="zh-CN"/>
        </w:rPr>
        <w:t>项目在投产后</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年内，由属地工信部门及时组织开展能效水平调查，</w:t>
      </w:r>
      <w:r>
        <w:rPr>
          <w:rFonts w:hint="eastAsia" w:ascii="仿宋_GB2312" w:hAnsi="仿宋_GB2312" w:eastAsia="仿宋_GB2312" w:cs="仿宋_GB2312"/>
          <w:color w:val="auto"/>
          <w:kern w:val="0"/>
          <w:sz w:val="32"/>
          <w:szCs w:val="32"/>
          <w:lang w:val="en-US" w:eastAsia="zh-CN"/>
        </w:rPr>
        <w:t>向省工信厅报送，</w:t>
      </w:r>
      <w:r>
        <w:rPr>
          <w:rFonts w:hint="eastAsia" w:ascii="仿宋_GB2312" w:hAnsi="仿宋_GB2312" w:eastAsia="仿宋_GB2312" w:cs="仿宋_GB2312"/>
          <w:sz w:val="32"/>
          <w:szCs w:val="32"/>
          <w:lang w:eastAsia="zh-CN"/>
        </w:rPr>
        <w:t>列入</w:t>
      </w:r>
      <w:r>
        <w:rPr>
          <w:rFonts w:hint="eastAsia" w:ascii="仿宋_GB2312" w:hAnsi="仿宋_GB2312" w:eastAsia="仿宋_GB2312" w:cs="仿宋_GB2312"/>
          <w:sz w:val="32"/>
          <w:szCs w:val="32"/>
          <w:lang w:val="en-US" w:eastAsia="zh-CN"/>
        </w:rPr>
        <w:t>能效水平清单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（省工业和信息化厅，西宁市、海东市、海西州、海南州人民政府按职责分工负责）</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22" w:type="dxa"/>
            <w:shd w:val="clear" w:color="auto" w:fill="auto"/>
            <w:vAlign w:val="top"/>
          </w:tcPr>
          <w:p>
            <w:pPr>
              <w:spacing w:line="5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28"/>
                <w:szCs w:val="28"/>
              </w:rPr>
              <w:t xml:space="preserve">专栏一  </w:t>
            </w:r>
            <w:r>
              <w:rPr>
                <w:rFonts w:hint="eastAsia" w:ascii="Times New Roman" w:hAnsi="Times New Roman" w:eastAsia="楷体_GB2312" w:cs="Times New Roman"/>
                <w:sz w:val="28"/>
                <w:szCs w:val="28"/>
                <w:lang w:eastAsia="zh-CN"/>
              </w:rPr>
              <w:t>水泥、玻璃</w:t>
            </w:r>
            <w:r>
              <w:rPr>
                <w:rFonts w:hint="default" w:ascii="Times New Roman" w:hAnsi="Times New Roman" w:eastAsia="楷体_GB2312" w:cs="Times New Roman"/>
                <w:sz w:val="28"/>
                <w:szCs w:val="28"/>
              </w:rPr>
              <w:t>企业技术改造</w:t>
            </w:r>
            <w:r>
              <w:rPr>
                <w:rFonts w:hint="eastAsia" w:ascii="Times New Roman" w:hAnsi="Times New Roman" w:eastAsia="楷体_GB2312" w:cs="Times New Roman"/>
                <w:sz w:val="28"/>
                <w:szCs w:val="28"/>
                <w:lang w:eastAsia="zh-CN"/>
              </w:rPr>
              <w:t>计划</w:t>
            </w:r>
            <w:r>
              <w:rPr>
                <w:rFonts w:hint="default" w:ascii="Times New Roman" w:hAnsi="Times New Roman" w:eastAsia="楷体_GB2312" w:cs="Times New Roman"/>
                <w:sz w:val="28"/>
                <w:szCs w:val="28"/>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8522" w:type="dxa"/>
            <w:shd w:val="clear" w:color="auto" w:fill="auto"/>
            <w:vAlign w:val="top"/>
          </w:tcPr>
          <w:p>
            <w:pPr>
              <w:spacing w:line="44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2022年底实施改造完成项目</w:t>
            </w:r>
            <w:r>
              <w:rPr>
                <w:rFonts w:hint="eastAsia" w:ascii="Times New Roman" w:hAnsi="Times New Roman" w:cs="Times New Roman"/>
                <w:b/>
                <w:bCs/>
                <w:sz w:val="24"/>
                <w:szCs w:val="24"/>
                <w:lang w:val="en-US" w:eastAsia="zh-CN"/>
              </w:rPr>
              <w:t>9</w:t>
            </w:r>
            <w:r>
              <w:rPr>
                <w:rFonts w:hint="default" w:ascii="Times New Roman" w:hAnsi="Times New Roman" w:cs="Times New Roman"/>
                <w:b/>
                <w:bCs/>
                <w:sz w:val="24"/>
                <w:szCs w:val="24"/>
              </w:rPr>
              <w:t>个：</w:t>
            </w:r>
          </w:p>
          <w:p>
            <w:pPr>
              <w:numPr>
                <w:ilvl w:val="0"/>
                <w:numId w:val="2"/>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青海祁连山水泥有限公司太阳能路灯改造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2.青海祁连山水泥有限公司</w:t>
            </w:r>
            <w:r>
              <w:rPr>
                <w:rFonts w:hint="default" w:ascii="Times New Roman" w:hAnsi="Times New Roman" w:eastAsia="仿宋_GB2312" w:cs="Times New Roman"/>
                <w:color w:val="auto"/>
                <w:sz w:val="24"/>
                <w:szCs w:val="24"/>
                <w:lang w:val="en-US" w:eastAsia="zh-CN"/>
              </w:rPr>
              <w:t>1</w:t>
            </w:r>
            <w:r>
              <w:rPr>
                <w:rFonts w:hint="eastAsia" w:ascii="仿宋_GB2312" w:hAnsi="仿宋_GB2312" w:eastAsia="仿宋_GB2312" w:cs="仿宋_GB2312"/>
                <w:color w:val="auto"/>
                <w:sz w:val="24"/>
                <w:szCs w:val="24"/>
                <w:lang w:val="en-US" w:eastAsia="zh-CN"/>
              </w:rPr>
              <w:t>#篦冷机节能改造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3.民和祁连山水泥有限公司两级变频空压机改造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4.民和祁连山水泥有限公司水泥窑降阻脱硝改造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5.民和祁连山水泥有限公司窑尾煤送煤及均化库底罗茨风机节能改造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6.青海江河源水泥有限责任公司项目（不对外公示）</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7.青海江河源水泥有限责任公司项目（不对外公示）</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color w:val="auto"/>
                <w:sz w:val="24"/>
                <w:szCs w:val="24"/>
                <w:lang w:val="en-US" w:eastAsia="zh-CN"/>
              </w:rPr>
              <w:t>青海耀华特种玻璃股份有限公司天然气磁化改造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default"/>
                <w:color w:val="auto"/>
                <w:lang w:val="en-US" w:eastAsia="zh-CN"/>
              </w:rPr>
            </w:pPr>
            <w:r>
              <w:rPr>
                <w:rFonts w:hint="eastAsia" w:ascii="仿宋_GB2312" w:hAnsi="仿宋_GB2312" w:eastAsia="仿宋_GB2312" w:cs="仿宋_GB2312"/>
                <w:color w:val="auto"/>
                <w:sz w:val="24"/>
                <w:szCs w:val="24"/>
                <w:lang w:val="en-US" w:eastAsia="zh-CN"/>
              </w:rPr>
              <w:t>9.青海耀华特种玻璃股份有限公司更换3台环保电机改造</w:t>
            </w:r>
            <w:r>
              <w:rPr>
                <w:rFonts w:hint="eastAsia" w:ascii="仿宋_GB2312" w:hAnsi="仿宋_GB2312" w:eastAsia="仿宋_GB2312" w:cs="仿宋_GB2312"/>
                <w:sz w:val="24"/>
                <w:szCs w:val="24"/>
                <w:lang w:val="en-US" w:eastAsia="zh-CN"/>
              </w:rPr>
              <w:t>项目</w:t>
            </w:r>
          </w:p>
          <w:p>
            <w:pPr>
              <w:spacing w:line="44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2023年底拟实施改造完成项目</w:t>
            </w:r>
            <w:r>
              <w:rPr>
                <w:rFonts w:hint="eastAsia" w:ascii="Times New Roman" w:hAnsi="Times New Roman" w:cs="Times New Roman"/>
                <w:b/>
                <w:bCs/>
                <w:sz w:val="24"/>
                <w:szCs w:val="24"/>
                <w:lang w:val="en-US" w:eastAsia="zh-CN"/>
              </w:rPr>
              <w:t>15</w:t>
            </w:r>
            <w:r>
              <w:rPr>
                <w:rFonts w:hint="default" w:ascii="Times New Roman" w:hAnsi="Times New Roman" w:cs="Times New Roman"/>
                <w:b/>
                <w:bCs/>
                <w:sz w:val="24"/>
                <w:szCs w:val="24"/>
              </w:rPr>
              <w:t>个：</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color w:val="auto"/>
                <w:sz w:val="24"/>
                <w:szCs w:val="24"/>
                <w:lang w:val="en-US" w:eastAsia="zh-CN"/>
              </w:rPr>
              <w:t>青海祁连山水泥有限公司二线尾煤输送风机改造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2.青海祁连山水泥有限公司二线均化库罗茨风机节能改造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3.民和祁连山水泥有限公司节能电机改造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4.民和祁连山水泥有限公司水泥窑篦冷机节能技术改造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5.民和祁连山水泥有限公司煤磨驱动系统节能改造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6.民和祁连山水泥有限公司</w:t>
            </w:r>
            <w:r>
              <w:rPr>
                <w:rFonts w:hint="default" w:ascii="Times New Roman" w:hAnsi="Times New Roman" w:eastAsia="仿宋_GB2312" w:cs="Times New Roman"/>
                <w:color w:val="auto"/>
                <w:sz w:val="24"/>
                <w:szCs w:val="24"/>
                <w:lang w:val="en-US" w:eastAsia="zh-CN"/>
              </w:rPr>
              <w:t>1-4</w:t>
            </w:r>
            <w:r>
              <w:rPr>
                <w:rFonts w:hint="eastAsia" w:ascii="仿宋_GB2312" w:hAnsi="仿宋_GB2312" w:eastAsia="仿宋_GB2312" w:cs="仿宋_GB2312"/>
                <w:color w:val="auto"/>
                <w:sz w:val="24"/>
                <w:szCs w:val="24"/>
                <w:lang w:val="en-US" w:eastAsia="zh-CN"/>
              </w:rPr>
              <w:t>#水泥库底卸料空气悬浮风机改造</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7.青海互助金圆水泥有限公司使用替代燃料</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8.青海宏扬水泥有限公司预热器节能技术改造项目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9.共和县祁连山金河水泥有限责任公司罗茨风机改造项目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10.共和县祁连山金河水泥有限责任公司电机改造项目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11.共和县祁连山金河水泥有限责任公司风机改造项目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12.共和县祁连山金河水泥有限责任公司空压机改造项目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13.青海乐都华夏水泥有限公司资源综合利用节能技术改造项目</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14.青海耀华特种玻璃股份有限公司外墙保温</w:t>
            </w:r>
            <w:r>
              <w:rPr>
                <w:rFonts w:hint="eastAsia" w:ascii="仿宋_GB2312" w:hAnsi="仿宋_GB2312" w:eastAsia="仿宋_GB2312" w:cs="仿宋_GB2312"/>
                <w:sz w:val="24"/>
                <w:szCs w:val="24"/>
                <w:lang w:val="en-US" w:eastAsia="zh-CN"/>
              </w:rPr>
              <w:t>项目</w:t>
            </w:r>
          </w:p>
          <w:p>
            <w:pPr>
              <w:numPr>
                <w:ilvl w:val="0"/>
                <w:numId w:val="0"/>
              </w:numPr>
              <w:spacing w:line="440" w:lineRule="exact"/>
              <w:rPr>
                <w:rFonts w:hint="eastAsia"/>
                <w:color w:val="auto"/>
                <w:lang w:val="en-US" w:eastAsia="zh-CN"/>
              </w:rPr>
            </w:pPr>
            <w:r>
              <w:rPr>
                <w:rFonts w:hint="eastAsia" w:ascii="仿宋_GB2312" w:hAnsi="仿宋_GB2312" w:eastAsia="仿宋_GB2312" w:cs="仿宋_GB2312"/>
                <w:color w:val="auto"/>
                <w:sz w:val="24"/>
                <w:szCs w:val="24"/>
                <w:lang w:val="en-US" w:eastAsia="zh-CN"/>
              </w:rPr>
              <w:t>15.青海耀华特种玻璃股份有限公司太阳能发电项目</w:t>
            </w:r>
          </w:p>
          <w:p>
            <w:pPr>
              <w:spacing w:line="44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2024年底拟实施改造完成项目</w:t>
            </w: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个：</w:t>
            </w:r>
          </w:p>
          <w:p>
            <w:pPr>
              <w:numPr>
                <w:ilvl w:val="0"/>
                <w:numId w:val="0"/>
              </w:num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1.青海盐湖海纳化工有限公司甘河水泥厂</w:t>
            </w:r>
            <w:r>
              <w:rPr>
                <w:rFonts w:hint="eastAsia" w:ascii="Times New Roman" w:hAnsi="Times New Roman" w:eastAsia="仿宋_GB2312" w:cs="Times New Roman"/>
                <w:color w:val="auto"/>
                <w:sz w:val="24"/>
                <w:szCs w:val="24"/>
                <w:lang w:val="en-US" w:eastAsia="zh-CN"/>
              </w:rPr>
              <w:t>2500</w:t>
            </w:r>
            <w:r>
              <w:rPr>
                <w:rFonts w:hint="eastAsia" w:ascii="仿宋_GB2312" w:hAnsi="仿宋_GB2312" w:eastAsia="仿宋_GB2312" w:cs="仿宋_GB2312"/>
                <w:color w:val="auto"/>
                <w:sz w:val="24"/>
                <w:szCs w:val="24"/>
                <w:lang w:val="en-US" w:eastAsia="zh-CN"/>
              </w:rPr>
              <w:t>t/d水泥熟料生产线余热综合利用节能技术改造项目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2.青海互助金圆水泥有限公司一线超低排放技改项目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3.青海互助金圆水泥有限公司罗茨风机（共</w:t>
            </w:r>
            <w:r>
              <w:rPr>
                <w:rFonts w:hint="eastAsia" w:ascii="Times New Roman" w:hAnsi="Times New Roman" w:eastAsia="仿宋_GB2312" w:cs="Times New Roman"/>
                <w:sz w:val="24"/>
                <w:szCs w:val="24"/>
                <w:lang w:val="en-US" w:eastAsia="zh-CN"/>
              </w:rPr>
              <w:t>3</w:t>
            </w:r>
            <w:r>
              <w:rPr>
                <w:rFonts w:hint="eastAsia" w:ascii="仿宋_GB2312" w:hAnsi="仿宋_GB2312" w:eastAsia="仿宋_GB2312" w:cs="仿宋_GB2312"/>
                <w:sz w:val="24"/>
                <w:szCs w:val="24"/>
                <w:lang w:val="en-US" w:eastAsia="zh-CN"/>
              </w:rPr>
              <w:t>台）改磁悬浮风机项目</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4.青海宏扬水泥有限公司预热器节能技术改造项目</w:t>
            </w:r>
          </w:p>
          <w:p>
            <w:pPr>
              <w:numPr>
                <w:ilvl w:val="0"/>
                <w:numId w:val="0"/>
              </w:numPr>
              <w:spacing w:line="440" w:lineRule="exact"/>
              <w:rPr>
                <w:rFonts w:hint="eastAsia"/>
                <w:color w:val="auto"/>
                <w:lang w:val="en-US" w:eastAsia="zh-CN"/>
              </w:rPr>
            </w:pPr>
            <w:r>
              <w:rPr>
                <w:rFonts w:hint="eastAsia" w:ascii="仿宋_GB2312" w:hAnsi="仿宋_GB2312" w:eastAsia="仿宋_GB2312" w:cs="仿宋_GB2312"/>
                <w:color w:val="auto"/>
                <w:sz w:val="24"/>
                <w:szCs w:val="24"/>
                <w:lang w:val="en-US" w:eastAsia="zh-CN"/>
              </w:rPr>
              <w:t>5.青海耀华特种玻璃股份有限公司更换淘汰电机</w:t>
            </w:r>
            <w:r>
              <w:rPr>
                <w:rFonts w:hint="eastAsia" w:ascii="仿宋_GB2312" w:hAnsi="仿宋_GB2312" w:eastAsia="仿宋_GB2312" w:cs="仿宋_GB2312"/>
                <w:sz w:val="24"/>
                <w:szCs w:val="24"/>
                <w:lang w:val="en-US" w:eastAsia="zh-CN"/>
              </w:rPr>
              <w:t>项目</w:t>
            </w:r>
          </w:p>
          <w:p>
            <w:pPr>
              <w:spacing w:line="44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2025年底拟实施改造完成项目</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个：</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1.青海互助金圆水泥有限公司二线超低排放技改项目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2.青海互助金圆水泥有限公司节煤剂使用项目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3.青海省新型建材工贸有限责任公司</w:t>
            </w:r>
            <w:r>
              <w:rPr>
                <w:rFonts w:hint="eastAsia" w:ascii="Times New Roman" w:hAnsi="Times New Roman" w:eastAsia="仿宋_GB2312" w:cs="Times New Roman"/>
                <w:sz w:val="24"/>
                <w:szCs w:val="24"/>
                <w:lang w:val="en-US" w:eastAsia="zh-CN"/>
              </w:rPr>
              <w:t>2000</w:t>
            </w:r>
            <w:r>
              <w:rPr>
                <w:rFonts w:hint="eastAsia" w:ascii="仿宋_GB2312" w:hAnsi="仿宋_GB2312" w:eastAsia="仿宋_GB2312" w:cs="仿宋_GB2312"/>
                <w:sz w:val="24"/>
                <w:szCs w:val="24"/>
                <w:lang w:val="en-US" w:eastAsia="zh-CN"/>
              </w:rPr>
              <w:t>t/d水泥熟料生产线节能技术改造项目</w:t>
            </w:r>
          </w:p>
          <w:p>
            <w:pPr>
              <w:spacing w:line="440" w:lineRule="exact"/>
              <w:rPr>
                <w:rFonts w:hint="eastAsia" w:ascii="仿宋_GB2312" w:hAnsi="仿宋_GB2312" w:eastAsia="仿宋_GB2312" w:cs="仿宋_GB2312"/>
                <w:sz w:val="24"/>
                <w:szCs w:val="24"/>
                <w:lang w:val="en-US" w:eastAsia="zh-CN"/>
              </w:rPr>
            </w:pPr>
            <w:r>
              <w:rPr>
                <w:rFonts w:hint="eastAsia" w:ascii="Times New Roman" w:hAnsi="Times New Roman" w:cs="Times New Roman"/>
                <w:b/>
                <w:bCs/>
                <w:sz w:val="24"/>
                <w:szCs w:val="24"/>
              </w:rPr>
              <w:t>无技术改造计划的企业</w:t>
            </w:r>
            <w:r>
              <w:rPr>
                <w:rFonts w:hint="eastAsia" w:ascii="Times New Roman" w:hAnsi="Times New Roman" w:cs="Times New Roman"/>
                <w:b/>
                <w:bCs/>
                <w:sz w:val="24"/>
                <w:szCs w:val="24"/>
                <w:lang w:val="en-US" w:eastAsia="zh-CN"/>
              </w:rPr>
              <w:t>4</w:t>
            </w:r>
            <w:r>
              <w:rPr>
                <w:rFonts w:hint="eastAsia" w:ascii="Times New Roman" w:hAnsi="Times New Roman" w:cs="Times New Roman"/>
                <w:b/>
                <w:bCs/>
                <w:sz w:val="24"/>
                <w:szCs w:val="24"/>
              </w:rPr>
              <w:t>户：</w:t>
            </w:r>
            <w:r>
              <w:rPr>
                <w:rFonts w:hint="eastAsia" w:ascii="仿宋_GB2312" w:hAnsi="仿宋_GB2312" w:eastAsia="仿宋_GB2312" w:cs="仿宋_GB2312"/>
                <w:sz w:val="24"/>
                <w:szCs w:val="24"/>
                <w:lang w:val="en-US" w:eastAsia="zh-CN"/>
              </w:rPr>
              <w:t xml:space="preserve"> </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1.青海水泥股份有限公司</w:t>
            </w:r>
          </w:p>
          <w:p>
            <w:pPr>
              <w:spacing w:line="44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2.青海海西化工建材股份有限公司</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3.青海泰宁水泥有限公司</w:t>
            </w:r>
          </w:p>
          <w:p>
            <w:pPr>
              <w:spacing w:line="440" w:lineRule="exact"/>
              <w:rPr>
                <w:rFonts w:hint="default" w:ascii="Times New Roman" w:hAnsi="Times New Roman" w:cs="Times New Roman"/>
                <w:sz w:val="24"/>
                <w:szCs w:val="24"/>
                <w:lang w:val="en-US"/>
              </w:rPr>
            </w:pPr>
            <w:r>
              <w:rPr>
                <w:rFonts w:hint="eastAsia" w:ascii="仿宋_GB2312" w:hAnsi="仿宋_GB2312" w:eastAsia="仿宋_GB2312" w:cs="仿宋_GB2312"/>
                <w:sz w:val="24"/>
                <w:szCs w:val="24"/>
                <w:lang w:val="en-US" w:eastAsia="zh-CN"/>
              </w:rPr>
              <w:t xml:space="preserve">4.青海金鼎水泥有限公司（停产）                      </w:t>
            </w:r>
          </w:p>
        </w:tc>
      </w:tr>
    </w:tbl>
    <w:p>
      <w:pPr>
        <w:numPr>
          <w:ilvl w:val="0"/>
          <w:numId w:val="0"/>
        </w:numPr>
        <w:spacing w:line="560" w:lineRule="exact"/>
        <w:ind w:firstLine="640" w:firstLineChars="200"/>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二</w:t>
      </w:r>
      <w:r>
        <w:rPr>
          <w:rFonts w:hint="default" w:ascii="Times New Roman" w:hAnsi="Times New Roman" w:eastAsia="楷体_GB2312" w:cs="Times New Roman"/>
          <w:color w:val="auto"/>
          <w:sz w:val="32"/>
          <w:szCs w:val="32"/>
          <w:highlight w:val="none"/>
          <w:lang w:val="en-US" w:eastAsia="zh-CN"/>
        </w:rPr>
        <w:t>）加强节能降碳技术研发应用</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具备科研条件的</w:t>
      </w:r>
      <w:r>
        <w:rPr>
          <w:rFonts w:hint="eastAsia" w:ascii="仿宋_GB2312" w:hAnsi="仿宋_GB2312" w:eastAsia="仿宋_GB2312" w:cs="仿宋_GB2312"/>
          <w:sz w:val="32"/>
          <w:szCs w:val="32"/>
          <w:lang w:eastAsia="zh-CN"/>
        </w:rPr>
        <w:t>水泥、平板玻璃企业加强节能降碳技术装备研发，收集整理运行稳定、节能效果好、易于复制推广的节能技术，结合《产业结构调整指导目录》（鼓励类）《绿色技术推广目录》《高耗能行业重点领域节能降碳改造升级实施指南（2022年版）》等明确的先进成熟技术，加快</w:t>
      </w:r>
      <w:r>
        <w:rPr>
          <w:rFonts w:hint="eastAsia" w:ascii="仿宋_GB2312" w:hAnsi="仿宋_GB2312" w:eastAsia="仿宋_GB2312" w:cs="仿宋_GB2312"/>
          <w:sz w:val="32"/>
          <w:szCs w:val="32"/>
          <w:lang w:val="en-US" w:eastAsia="zh-CN"/>
        </w:rPr>
        <w:t>省内同行业企业</w:t>
      </w:r>
      <w:r>
        <w:rPr>
          <w:rFonts w:hint="eastAsia" w:ascii="仿宋_GB2312" w:hAnsi="仿宋_GB2312" w:eastAsia="仿宋_GB2312" w:cs="仿宋_GB2312"/>
          <w:sz w:val="32"/>
          <w:szCs w:val="32"/>
          <w:lang w:eastAsia="zh-CN"/>
        </w:rPr>
        <w:t>推广应用。</w:t>
      </w:r>
      <w:r>
        <w:rPr>
          <w:rFonts w:hint="eastAsia" w:ascii="仿宋_GB2312" w:hAnsi="仿宋_GB2312" w:eastAsia="仿宋_GB2312" w:cs="仿宋_GB2312"/>
          <w:color w:val="auto"/>
          <w:sz w:val="32"/>
          <w:szCs w:val="32"/>
          <w:highlight w:val="none"/>
          <w:lang w:val="en-US" w:eastAsia="zh-CN"/>
        </w:rPr>
        <w:t>建设绿色工厂，进一步提升能源利用效率。鼓励发展循环经济，加强余热、余压回收，实现能量梯级利用。</w:t>
      </w:r>
      <w:r>
        <w:rPr>
          <w:rFonts w:hint="eastAsia" w:ascii="仿宋_GB2312" w:hAnsi="仿宋_GB2312" w:eastAsia="仿宋_GB2312" w:cs="仿宋_GB2312"/>
          <w:b/>
          <w:bCs/>
          <w:sz w:val="32"/>
          <w:szCs w:val="32"/>
          <w:lang w:eastAsia="zh-CN"/>
        </w:rPr>
        <w:t>（省发展改革委、省科技厅、省工业和信息化厅，西宁市、海东市、海西州、海南州人民政府按职责分工负责）</w:t>
      </w:r>
    </w:p>
    <w:tbl>
      <w:tblPr>
        <w:tblStyle w:val="10"/>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8260" w:type="dxa"/>
            <w:vAlign w:val="top"/>
          </w:tcPr>
          <w:p>
            <w:pPr>
              <w:widowControl w:val="0"/>
              <w:wordWrap/>
              <w:adjustRightInd/>
              <w:snapToGrid/>
              <w:spacing w:before="0" w:beforeAutospacing="0" w:after="0" w:afterAutospacing="0" w:line="500" w:lineRule="exact"/>
              <w:ind w:left="0" w:leftChars="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sz w:val="28"/>
                <w:szCs w:val="28"/>
                <w:lang w:eastAsia="zh-CN"/>
              </w:rPr>
              <w:t>专栏</w:t>
            </w:r>
            <w:r>
              <w:rPr>
                <w:rFonts w:hint="eastAsia" w:ascii="Times New Roman" w:hAnsi="Times New Roman" w:eastAsia="楷体_GB2312" w:cs="Times New Roman"/>
                <w:sz w:val="28"/>
                <w:szCs w:val="28"/>
                <w:lang w:eastAsia="zh-CN"/>
              </w:rPr>
              <w:t>二</w:t>
            </w:r>
            <w:r>
              <w:rPr>
                <w:rFonts w:hint="default" w:ascii="Times New Roman" w:hAnsi="Times New Roman" w:eastAsia="楷体_GB2312" w:cs="Times New Roman"/>
                <w:sz w:val="28"/>
                <w:szCs w:val="28"/>
                <w:lang w:eastAsia="zh-CN"/>
              </w:rPr>
              <w:t xml:space="preserve">  建材领域绿色低碳技术重点方向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260"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default" w:ascii="Times New Roman" w:hAnsi="Times New Roman" w:eastAsia="黑体" w:cs="Times New Roman"/>
                <w:i w:val="0"/>
                <w:iCs w:val="0"/>
                <w:color w:val="auto"/>
                <w:sz w:val="24"/>
                <w:szCs w:val="24"/>
                <w:highlight w:val="none"/>
                <w:lang w:eastAsia="zh-CN"/>
              </w:rPr>
              <w:t>水泥行业：</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仿宋_GB2312" w:hAnsi="仿宋_GB2312" w:eastAsia="仿宋_GB2312" w:cs="仿宋_GB2312"/>
                <w:sz w:val="24"/>
                <w:szCs w:val="24"/>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仿宋_GB2312" w:hAnsi="仿宋_GB2312" w:eastAsia="仿宋_GB2312" w:cs="仿宋_GB2312"/>
                <w:sz w:val="24"/>
                <w:szCs w:val="24"/>
                <w:lang w:val="en-US" w:eastAsia="zh-CN"/>
              </w:rPr>
              <w:t>加快研发超低能耗标杆示范新技术、绿色氢能煅烧水泥熟料关键技术、新型固碳胶凝材料制备及窑炉尾气二氧化碳利用关键技术、水泥窑炉烟气二氧化碳捕集与纯化催化转化利用关键技术等重大关键性节能低碳技术，促进水泥行业进一步提升能源利用效率。</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成熟工艺技术装备推广</w:t>
            </w:r>
            <w:r>
              <w:rPr>
                <w:rFonts w:hint="default" w:ascii="Times New Roman" w:hAnsi="Times New Roman" w:eastAsia="楷体_GB2312" w:cs="Times New Roman"/>
                <w:b/>
                <w:bCs/>
                <w:color w:val="auto"/>
                <w:sz w:val="24"/>
                <w:szCs w:val="24"/>
                <w:highlight w:val="none"/>
                <w:lang w:val="en-US" w:eastAsia="zh-CN"/>
              </w:rPr>
              <w:t>：</w:t>
            </w:r>
            <w:r>
              <w:rPr>
                <w:rFonts w:hint="default" w:ascii="仿宋_GB2312" w:hAnsi="仿宋_GB2312" w:eastAsia="仿宋_GB2312" w:cs="仿宋_GB2312"/>
                <w:sz w:val="24"/>
                <w:szCs w:val="24"/>
                <w:lang w:val="en-US" w:eastAsia="zh-CN"/>
              </w:rPr>
              <w:t>推动采用低阻高效预热预分解系统、第四代篦冷机、模块化节能或多层复合窑衬、气凝胶、窑炉专家优化智能控制系统等技术，进一步提升烧成系统能源利用效率。推广大比例替代燃料技术，利用生活垃圾、固体废弃物和生物质燃料等替代煤炭</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提高水泥窑协同处置生产线比例。推广分级分别高效粉磨、立磨/辊压机高效料床终粉磨、立磨煤磨等制备系统改造，降低粉磨系统单位产品电耗。推动水泥厂高效节能风机/电机、自动化、信息化、智能化系统技术改造，提高生产效率和生产管理水平。加强清洁能源原燃料替代。建立替代原燃材料供应支撑体系，加大清洁能源使用比例，支持鼓励水泥企业利用自有设施、场地实施余热余压利用、替代燃料、分布式发电等</w:t>
            </w:r>
            <w:r>
              <w:rPr>
                <w:rFonts w:hint="eastAsia" w:ascii="仿宋_GB2312" w:hAnsi="仿宋_GB2312" w:eastAsia="仿宋_GB2312" w:cs="仿宋_GB2312"/>
                <w:sz w:val="24"/>
                <w:szCs w:val="24"/>
                <w:lang w:val="en-US" w:eastAsia="zh-CN"/>
              </w:rPr>
              <w:t>。</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default" w:ascii="Times New Roman" w:hAnsi="Times New Roman" w:eastAsia="黑体" w:cs="Times New Roman"/>
                <w:i w:val="0"/>
                <w:iCs w:val="0"/>
                <w:color w:val="auto"/>
                <w:sz w:val="24"/>
                <w:szCs w:val="24"/>
                <w:highlight w:val="none"/>
                <w:lang w:eastAsia="zh-CN"/>
              </w:rPr>
              <w:t>平板玻璃行业：</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仿宋_GB2312" w:hAnsi="仿宋_GB2312" w:eastAsia="仿宋_GB2312" w:cs="仿宋_GB2312"/>
                <w:sz w:val="24"/>
                <w:szCs w:val="24"/>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default" w:ascii="仿宋_GB2312" w:hAnsi="仿宋_GB2312" w:eastAsia="仿宋_GB2312" w:cs="仿宋_GB2312"/>
                <w:sz w:val="24"/>
                <w:szCs w:val="24"/>
                <w:lang w:val="en-US" w:eastAsia="zh-CN"/>
              </w:rPr>
              <w:t>加快研发玻璃熔窑利用氢能成套技术及装备、浮法玻璃工艺流程再造技术、玻璃熔窑窑外预热工艺及成套技术与装备、大型玻璃熔窑大功率“火-电”复合熔化技术</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进一步提升玻璃行业能源使用效率。</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i/>
                <w:iCs/>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成熟工艺技术装备推广</w:t>
            </w:r>
            <w:r>
              <w:rPr>
                <w:rFonts w:hint="default" w:ascii="Times New Roman" w:hAnsi="Times New Roman" w:eastAsia="楷体_GB2312" w:cs="Times New Roman"/>
                <w:b/>
                <w:bCs/>
                <w:color w:val="auto"/>
                <w:sz w:val="24"/>
                <w:szCs w:val="24"/>
                <w:highlight w:val="none"/>
                <w:lang w:val="en-US" w:eastAsia="zh-CN"/>
              </w:rPr>
              <w:t>：</w:t>
            </w:r>
            <w:r>
              <w:rPr>
                <w:rFonts w:hint="default" w:ascii="仿宋_GB2312" w:hAnsi="仿宋_GB2312" w:eastAsia="仿宋_GB2312" w:cs="仿宋_GB2312"/>
                <w:sz w:val="24"/>
                <w:szCs w:val="24"/>
                <w:lang w:val="en-US" w:eastAsia="zh-CN"/>
              </w:rPr>
              <w:t xml:space="preserve">采用玻璃熔窑全保温、熔窑用红外高辐射节能涂料等技术。采用玻璃熔窑全氧燃烧、纯氧助燃工艺技术及装备，优化玻璃窑炉、锡槽、退火窑结构和燃烧控制技术。大力推进能源的节约利用，不断提高能源精益化管理水平。加大绿色能源使用比例，鼓励平板玻璃企业利用自有设施、场地实施余热余压利用、分布式发电等。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lang w:val="en-US" w:eastAsia="zh-CN"/>
        </w:rPr>
        <w:t>）推动产业集聚融合发展</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default" w:ascii="仿宋_GB2312" w:eastAsia="仿宋_GB2312"/>
          <w:sz w:val="32"/>
          <w:szCs w:val="32"/>
          <w:lang w:val="en-US" w:eastAsia="zh-CN"/>
        </w:rPr>
        <w:t>聚焦</w:t>
      </w:r>
      <w:r>
        <w:rPr>
          <w:rFonts w:hint="eastAsia" w:ascii="仿宋_GB2312" w:eastAsia="仿宋_GB2312"/>
          <w:sz w:val="32"/>
          <w:szCs w:val="32"/>
        </w:rPr>
        <w:t>我省</w:t>
      </w:r>
      <w:r>
        <w:rPr>
          <w:rFonts w:hint="eastAsia" w:ascii="仿宋_GB2312" w:eastAsia="仿宋_GB2312"/>
          <w:sz w:val="32"/>
          <w:szCs w:val="32"/>
          <w:lang w:eastAsia="zh-CN"/>
        </w:rPr>
        <w:t>工业</w:t>
      </w:r>
      <w:r>
        <w:rPr>
          <w:rFonts w:hint="eastAsia" w:ascii="仿宋_GB2312" w:eastAsia="仿宋_GB2312"/>
          <w:sz w:val="32"/>
          <w:szCs w:val="32"/>
        </w:rPr>
        <w:t>园区</w:t>
      </w:r>
      <w:r>
        <w:rPr>
          <w:rFonts w:hint="default" w:ascii="仿宋_GB2312" w:eastAsia="仿宋_GB2312"/>
          <w:sz w:val="32"/>
          <w:szCs w:val="32"/>
          <w:lang w:val="en-US" w:eastAsia="zh-CN"/>
        </w:rPr>
        <w:t>集中集聚发展，</w:t>
      </w:r>
      <w:r>
        <w:rPr>
          <w:rFonts w:hint="eastAsia" w:ascii="仿宋_GB2312" w:eastAsia="仿宋_GB2312"/>
          <w:sz w:val="32"/>
          <w:szCs w:val="32"/>
        </w:rPr>
        <w:t>新建拟建项目应对照我省园区功能定位</w:t>
      </w:r>
      <w:r>
        <w:rPr>
          <w:rFonts w:hint="eastAsia" w:ascii="仿宋_GB2312" w:eastAsia="仿宋_GB2312"/>
          <w:sz w:val="32"/>
          <w:szCs w:val="32"/>
          <w:lang w:eastAsia="zh-CN"/>
        </w:rPr>
        <w:t>入驻</w:t>
      </w:r>
      <w:r>
        <w:rPr>
          <w:rFonts w:hint="eastAsia" w:ascii="仿宋_GB2312" w:eastAsia="仿宋_GB2312"/>
          <w:sz w:val="32"/>
          <w:szCs w:val="32"/>
        </w:rPr>
        <w:t>，</w:t>
      </w:r>
      <w:r>
        <w:rPr>
          <w:rFonts w:hint="default" w:ascii="仿宋_GB2312" w:eastAsia="仿宋_GB2312"/>
          <w:sz w:val="32"/>
          <w:szCs w:val="32"/>
          <w:lang w:eastAsia="zh-CN"/>
        </w:rPr>
        <w:t>提升能源环境等基础设施使用效率</w:t>
      </w:r>
      <w:r>
        <w:rPr>
          <w:rFonts w:hint="eastAsia" w:ascii="仿宋_GB2312" w:eastAsia="仿宋_GB2312"/>
          <w:sz w:val="32"/>
          <w:szCs w:val="32"/>
          <w:lang w:eastAsia="zh-CN"/>
        </w:rPr>
        <w:t>，</w:t>
      </w:r>
      <w:r>
        <w:rPr>
          <w:rFonts w:hint="eastAsia" w:ascii="仿宋_GB2312" w:eastAsia="仿宋_GB2312"/>
          <w:sz w:val="32"/>
          <w:szCs w:val="32"/>
        </w:rPr>
        <w:t>推动优势产业互补，推进能源资源梯级利用，促进区域协调发展。支持</w:t>
      </w:r>
      <w:bookmarkStart w:id="0" w:name="_GoBack"/>
      <w:bookmarkEnd w:id="0"/>
      <w:r>
        <w:rPr>
          <w:rFonts w:hint="eastAsia" w:ascii="仿宋_GB2312" w:eastAsia="仿宋_GB2312"/>
          <w:sz w:val="32"/>
          <w:szCs w:val="32"/>
        </w:rPr>
        <w:t>关联产业集群化发展，构建企业首尾相连、互为供需和能源系统、公辅设施互联互通的产业链，减少物流运输能源消耗，提高资源综合利用水平。鼓励不同产业和行业融合发展，提高资源转化效率，实现协同节能降碳。</w:t>
      </w:r>
      <w:r>
        <w:rPr>
          <w:rFonts w:hint="eastAsia" w:ascii="仿宋_GB2312" w:hAnsi="仿宋_GB2312" w:eastAsia="仿宋_GB2312" w:cs="仿宋_GB2312"/>
          <w:b/>
          <w:bCs/>
          <w:sz w:val="32"/>
          <w:szCs w:val="32"/>
          <w:lang w:eastAsia="zh-CN"/>
        </w:rPr>
        <w:t>（省工业和信</w:t>
      </w:r>
      <w:r>
        <w:rPr>
          <w:rFonts w:hint="eastAsia" w:ascii="仿宋_GB2312" w:hAnsi="仿宋_GB2312" w:eastAsia="仿宋_GB2312" w:cs="仿宋_GB2312"/>
          <w:b/>
          <w:bCs/>
          <w:color w:val="auto"/>
          <w:sz w:val="32"/>
          <w:szCs w:val="32"/>
          <w:lang w:eastAsia="zh-CN"/>
        </w:rPr>
        <w:t>息化厅，</w:t>
      </w:r>
      <w:r>
        <w:rPr>
          <w:rFonts w:hint="eastAsia" w:ascii="Times New Roman" w:hAnsi="Times New Roman" w:eastAsia="仿宋_GB2312" w:cs="Times New Roman"/>
          <w:b/>
          <w:bCs/>
          <w:color w:val="auto"/>
          <w:sz w:val="32"/>
          <w:szCs w:val="32"/>
          <w:lang w:val="en-US" w:eastAsia="zh-CN"/>
        </w:rPr>
        <w:t>省自然资源厅、省生态环境厅、省水利厅、</w:t>
      </w:r>
      <w:r>
        <w:rPr>
          <w:rFonts w:hint="eastAsia" w:ascii="仿宋_GB2312" w:hAnsi="仿宋_GB2312" w:eastAsia="仿宋_GB2312" w:cs="仿宋_GB2312"/>
          <w:b/>
          <w:bCs/>
          <w:color w:val="auto"/>
          <w:sz w:val="32"/>
          <w:szCs w:val="32"/>
          <w:lang w:eastAsia="zh-CN"/>
        </w:rPr>
        <w:t>西宁市、海东市、海西州、海南州人民政府按职责分工负责）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三、</w:t>
      </w:r>
      <w:r>
        <w:rPr>
          <w:rFonts w:hint="eastAsia" w:ascii="黑体" w:hAnsi="黑体" w:eastAsia="黑体" w:cs="黑体"/>
          <w:b w:val="0"/>
          <w:bCs w:val="0"/>
          <w:color w:val="auto"/>
          <w:kern w:val="0"/>
          <w:sz w:val="32"/>
          <w:szCs w:val="32"/>
          <w:lang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部门要加强协同配合，形成工作合力，确保各项工作按时限要求有序推进。各地方要高度重视，进一步靠实属地责任，切实发挥监管职能，确保相关政策标准和要求执行到位。有关行业协会要充分发挥桥梁纽带作用，引导行业企业凝聚共识，形成一致行动，协同推进节能降碳工作。有关企业要强化绿色低碳发展意识，落实主体责任，严格按照时间节点要求完成各项技改任务，不断提高能效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水泥、平板玻璃能效基准水平和标杆水平表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青海省建材行业能效水平清单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11"/>
          <w:sz w:val="32"/>
          <w:szCs w:val="32"/>
          <w:lang w:val="en-US" w:eastAsia="zh-CN"/>
        </w:rPr>
        <w:t>青海省建材领域企业节能技术改造项目清单</w:t>
      </w:r>
      <w:r>
        <w:rPr>
          <w:rFonts w:hint="eastAsia" w:ascii="仿宋_GB2312" w:hAnsi="仿宋_GB2312" w:eastAsia="仿宋_GB2312" w:cs="仿宋_GB2312"/>
          <w:sz w:val="32"/>
          <w:szCs w:val="32"/>
          <w:lang w:eastAsia="zh-CN"/>
        </w:rPr>
        <w:t>》</w:t>
      </w: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1</w:t>
      </w: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t>水泥、平板玻璃能效基准水平和标杆水平表</w:t>
      </w:r>
    </w:p>
    <w:tbl>
      <w:tblPr>
        <w:tblStyle w:val="9"/>
        <w:tblW w:w="975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8"/>
        <w:gridCol w:w="623"/>
        <w:gridCol w:w="1627"/>
        <w:gridCol w:w="1869"/>
        <w:gridCol w:w="1616"/>
        <w:gridCol w:w="1004"/>
        <w:gridCol w:w="106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20"/>
                <w:sz w:val="20"/>
                <w:szCs w:val="20"/>
                <w:lang w:eastAsia="zh-CN"/>
              </w:rPr>
            </w:pPr>
            <w:r>
              <w:rPr>
                <w:rFonts w:hint="eastAsia" w:ascii="黑体" w:hAnsi="黑体" w:eastAsia="黑体" w:cs="黑体"/>
                <w:b w:val="0"/>
                <w:bCs w:val="0"/>
                <w:spacing w:val="-20"/>
                <w:sz w:val="20"/>
                <w:szCs w:val="20"/>
                <w:lang w:val="en-US" w:eastAsia="zh-CN"/>
              </w:rPr>
              <w:t>序号</w:t>
            </w:r>
          </w:p>
        </w:tc>
        <w:tc>
          <w:tcPr>
            <w:tcW w:w="2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20"/>
                <w:szCs w:val="20"/>
                <w:lang w:eastAsia="zh-CN"/>
              </w:rPr>
            </w:pPr>
            <w:r>
              <w:rPr>
                <w:rFonts w:hint="eastAsia" w:ascii="黑体" w:hAnsi="黑体" w:eastAsia="黑体" w:cs="黑体"/>
                <w:b w:val="0"/>
                <w:bCs w:val="0"/>
                <w:spacing w:val="-6"/>
                <w:sz w:val="20"/>
                <w:szCs w:val="20"/>
                <w:lang w:val="en-US" w:eastAsia="zh-CN"/>
              </w:rPr>
              <w:t>产品名称</w:t>
            </w:r>
          </w:p>
        </w:tc>
        <w:tc>
          <w:tcPr>
            <w:tcW w:w="186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20"/>
                <w:szCs w:val="20"/>
                <w:lang w:eastAsia="zh-CN"/>
              </w:rPr>
            </w:pPr>
            <w:r>
              <w:rPr>
                <w:rFonts w:hint="eastAsia" w:ascii="黑体" w:hAnsi="黑体" w:eastAsia="黑体" w:cs="黑体"/>
                <w:b w:val="0"/>
                <w:bCs w:val="0"/>
                <w:spacing w:val="-6"/>
                <w:sz w:val="20"/>
                <w:szCs w:val="20"/>
                <w:lang w:val="en-US" w:eastAsia="zh-CN"/>
              </w:rPr>
              <w:t>指标名称</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20"/>
                <w:szCs w:val="20"/>
                <w:lang w:eastAsia="zh-CN"/>
              </w:rPr>
            </w:pPr>
            <w:r>
              <w:rPr>
                <w:rFonts w:hint="eastAsia" w:ascii="黑体" w:hAnsi="黑体" w:eastAsia="黑体" w:cs="黑体"/>
                <w:b w:val="0"/>
                <w:bCs w:val="0"/>
                <w:spacing w:val="-6"/>
                <w:sz w:val="20"/>
                <w:szCs w:val="20"/>
                <w:lang w:val="en-US" w:eastAsia="zh-CN"/>
              </w:rPr>
              <w:t>指标单位</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20"/>
                <w:szCs w:val="20"/>
                <w:lang w:eastAsia="zh-CN"/>
              </w:rPr>
            </w:pPr>
            <w:r>
              <w:rPr>
                <w:rFonts w:hint="eastAsia" w:ascii="黑体" w:hAnsi="黑体" w:eastAsia="黑体" w:cs="黑体"/>
                <w:b w:val="0"/>
                <w:bCs w:val="0"/>
                <w:spacing w:val="-6"/>
                <w:sz w:val="20"/>
                <w:szCs w:val="20"/>
                <w:lang w:val="en-US" w:eastAsia="zh-CN"/>
              </w:rPr>
              <w:t>基准水平</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20"/>
                <w:szCs w:val="20"/>
                <w:lang w:eastAsia="zh-CN"/>
              </w:rPr>
            </w:pPr>
            <w:r>
              <w:rPr>
                <w:rFonts w:hint="eastAsia" w:ascii="黑体" w:hAnsi="黑体" w:eastAsia="黑体" w:cs="黑体"/>
                <w:b w:val="0"/>
                <w:bCs w:val="0"/>
                <w:spacing w:val="-6"/>
                <w:sz w:val="20"/>
                <w:szCs w:val="20"/>
                <w:lang w:val="en-US" w:eastAsia="zh-CN"/>
              </w:rPr>
              <w:t>标杆水平</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20"/>
                <w:szCs w:val="20"/>
                <w:lang w:eastAsia="zh-CN"/>
              </w:rPr>
            </w:pPr>
            <w:r>
              <w:rPr>
                <w:rFonts w:hint="eastAsia" w:ascii="黑体" w:hAnsi="黑体" w:eastAsia="黑体" w:cs="黑体"/>
                <w:b w:val="0"/>
                <w:bCs w:val="0"/>
                <w:spacing w:val="-6"/>
                <w:sz w:val="20"/>
                <w:szCs w:val="20"/>
                <w:lang w:val="en-US" w:eastAsia="zh-CN"/>
              </w:rPr>
              <w:t>计算参考标准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7" w:hRule="exact"/>
        </w:trPr>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r>
              <w:rPr>
                <w:rFonts w:hint="eastAsia" w:ascii="Times New Roman" w:hAnsi="Times New Roman" w:eastAsia="仿宋_GB2312" w:cs="Times New Roman"/>
                <w:sz w:val="24"/>
                <w:szCs w:val="24"/>
                <w:lang w:val="en-US" w:eastAsia="zh-CN"/>
              </w:rPr>
              <w:t>1</w:t>
            </w:r>
          </w:p>
        </w:tc>
        <w:tc>
          <w:tcPr>
            <w:tcW w:w="2250" w:type="dxa"/>
            <w:gridSpan w:val="2"/>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水泥熟料</w:t>
            </w:r>
          </w:p>
        </w:tc>
        <w:tc>
          <w:tcPr>
            <w:tcW w:w="1869" w:type="dxa"/>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可比熟料综合能耗</w:t>
            </w:r>
          </w:p>
        </w:tc>
        <w:tc>
          <w:tcPr>
            <w:tcW w:w="1616" w:type="dxa"/>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千克标准煤/吨</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0"/>
                <w:sz w:val="20"/>
                <w:szCs w:val="20"/>
                <w:lang w:val="en-US" w:eastAsia="zh-CN"/>
              </w:rPr>
            </w:pPr>
            <w:r>
              <w:rPr>
                <w:rFonts w:hint="default" w:ascii="Times New Roman" w:hAnsi="Times New Roman" w:eastAsia="仿宋_GB2312" w:cs="Times New Roman"/>
                <w:spacing w:val="0"/>
                <w:sz w:val="20"/>
                <w:szCs w:val="20"/>
                <w:lang w:val="en-US" w:eastAsia="zh-CN"/>
              </w:rPr>
              <w:t>117</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0"/>
                <w:sz w:val="20"/>
                <w:szCs w:val="20"/>
                <w:lang w:val="en-US" w:eastAsia="zh-CN"/>
              </w:rPr>
            </w:pPr>
            <w:r>
              <w:rPr>
                <w:rFonts w:hint="default" w:ascii="Times New Roman" w:hAnsi="Times New Roman" w:eastAsia="仿宋_GB2312" w:cs="Times New Roman"/>
                <w:spacing w:val="0"/>
                <w:sz w:val="20"/>
                <w:szCs w:val="20"/>
                <w:lang w:val="en-US" w:eastAsia="zh-CN"/>
              </w:rPr>
              <w:t>100</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18"/>
                <w:szCs w:val="18"/>
                <w:lang w:val="en-US" w:eastAsia="zh-CN"/>
              </w:rPr>
            </w:pPr>
            <w:r>
              <w:rPr>
                <w:rFonts w:hint="default" w:ascii="Times New Roman" w:hAnsi="Times New Roman" w:eastAsia="宋体" w:cs="Times New Roman"/>
                <w:i w:val="0"/>
                <w:color w:val="000000"/>
                <w:sz w:val="20"/>
                <w:szCs w:val="20"/>
                <w:u w:val="none"/>
                <w:lang w:val="en-US" w:eastAsia="zh-CN"/>
              </w:rPr>
              <w:t>GB 16780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exact"/>
        </w:trPr>
        <w:tc>
          <w:tcPr>
            <w:tcW w:w="6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r>
              <w:rPr>
                <w:rFonts w:hint="eastAsia" w:ascii="Times New Roman" w:hAnsi="Times New Roman" w:eastAsia="仿宋_GB2312" w:cs="Times New Roman"/>
                <w:sz w:val="24"/>
                <w:szCs w:val="24"/>
                <w:lang w:val="en-US" w:eastAsia="zh-CN"/>
              </w:rPr>
              <w:t>2</w:t>
            </w:r>
          </w:p>
        </w:tc>
        <w:tc>
          <w:tcPr>
            <w:tcW w:w="62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平板玻璃</w:t>
            </w:r>
          </w:p>
        </w:tc>
        <w:tc>
          <w:tcPr>
            <w:tcW w:w="16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≥500≤800吨/天</w:t>
            </w:r>
          </w:p>
        </w:tc>
        <w:tc>
          <w:tcPr>
            <w:tcW w:w="186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单位产品能耗</w:t>
            </w:r>
          </w:p>
        </w:tc>
        <w:tc>
          <w:tcPr>
            <w:tcW w:w="1616" w:type="dxa"/>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千克标准煤/重量箱</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20"/>
                <w:szCs w:val="20"/>
                <w:lang w:val="en-US" w:eastAsia="zh-CN"/>
              </w:rPr>
            </w:pPr>
            <w:r>
              <w:rPr>
                <w:rFonts w:hint="default" w:ascii="Times New Roman" w:hAnsi="Times New Roman" w:eastAsia="仿宋_GB2312" w:cs="Times New Roman"/>
                <w:spacing w:val="0"/>
                <w:sz w:val="20"/>
                <w:szCs w:val="20"/>
                <w:lang w:val="en-US" w:eastAsia="zh-CN"/>
              </w:rPr>
              <w:t>13.5</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20"/>
                <w:szCs w:val="20"/>
                <w:lang w:val="en-US" w:eastAsia="zh-CN"/>
              </w:rPr>
            </w:pPr>
            <w:r>
              <w:rPr>
                <w:rFonts w:hint="default" w:ascii="Times New Roman" w:hAnsi="Times New Roman" w:eastAsia="仿宋_GB2312" w:cs="Times New Roman"/>
                <w:spacing w:val="0"/>
                <w:sz w:val="20"/>
                <w:szCs w:val="20"/>
                <w:lang w:val="en-US" w:eastAsia="zh-CN"/>
              </w:rPr>
              <w:t>9.5</w:t>
            </w:r>
          </w:p>
        </w:tc>
        <w:tc>
          <w:tcPr>
            <w:tcW w:w="12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r>
              <w:rPr>
                <w:rFonts w:hint="default" w:ascii="Times New Roman" w:hAnsi="Times New Roman" w:eastAsia="宋体" w:cs="Times New Roman"/>
                <w:i w:val="0"/>
                <w:color w:val="000000"/>
                <w:sz w:val="20"/>
                <w:szCs w:val="20"/>
                <w:u w:val="none"/>
                <w:lang w:val="en-US" w:eastAsia="zh-CN"/>
              </w:rPr>
              <w:t>GB 21340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62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c>
          <w:tcPr>
            <w:tcW w:w="162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＞800吨/天</w:t>
            </w:r>
          </w:p>
        </w:tc>
        <w:tc>
          <w:tcPr>
            <w:tcW w:w="186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单位产品能耗</w:t>
            </w:r>
          </w:p>
        </w:tc>
        <w:tc>
          <w:tcPr>
            <w:tcW w:w="1616" w:type="dxa"/>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千克标准煤/重量箱</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20"/>
                <w:szCs w:val="20"/>
                <w:lang w:val="en-US" w:eastAsia="zh-CN"/>
              </w:rPr>
            </w:pPr>
            <w:r>
              <w:rPr>
                <w:rFonts w:hint="default" w:ascii="Times New Roman" w:hAnsi="Times New Roman" w:eastAsia="仿宋_GB2312" w:cs="Times New Roman"/>
                <w:spacing w:val="0"/>
                <w:sz w:val="20"/>
                <w:szCs w:val="20"/>
                <w:lang w:val="en-US" w:eastAsia="zh-CN"/>
              </w:rPr>
              <w:t>12</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20"/>
                <w:szCs w:val="20"/>
                <w:lang w:val="en-US" w:eastAsia="zh-CN"/>
              </w:rPr>
            </w:pPr>
            <w:r>
              <w:rPr>
                <w:rFonts w:hint="default" w:ascii="Times New Roman" w:hAnsi="Times New Roman" w:eastAsia="仿宋_GB2312" w:cs="Times New Roman"/>
                <w:spacing w:val="0"/>
                <w:sz w:val="20"/>
                <w:szCs w:val="20"/>
                <w:lang w:val="en-US" w:eastAsia="zh-CN"/>
              </w:rPr>
              <w:t>8</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bl>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w:t>
      </w:r>
    </w:p>
    <w:p>
      <w:pPr>
        <w:pStyle w:val="5"/>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青海省建材行业能效水平清单</w:t>
      </w:r>
    </w:p>
    <w:tbl>
      <w:tblPr>
        <w:tblStyle w:val="9"/>
        <w:tblW w:w="15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1"/>
        <w:gridCol w:w="1062"/>
        <w:gridCol w:w="2377"/>
        <w:gridCol w:w="2423"/>
        <w:gridCol w:w="738"/>
        <w:gridCol w:w="1039"/>
        <w:gridCol w:w="1027"/>
        <w:gridCol w:w="1743"/>
        <w:gridCol w:w="726"/>
        <w:gridCol w:w="739"/>
        <w:gridCol w:w="819"/>
        <w:gridCol w:w="819"/>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地区</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企业名称</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设备类型</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主要</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产品</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设计产能</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（万吨）</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实际产量</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（万吨）</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指标名称</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及单位</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水平</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标杆水平</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企业现有</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能效水平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82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Theme="minorEastAsia" w:hAnsiTheme="minorEastAsia" w:eastAsiaTheme="minorEastAsia" w:cstheme="minorEastAsia"/>
                <w:b/>
                <w:bCs/>
                <w:i w:val="0"/>
                <w:color w:val="000000"/>
                <w:kern w:val="0"/>
                <w:sz w:val="20"/>
                <w:szCs w:val="20"/>
                <w:u w:val="none"/>
                <w:lang w:val="en-US" w:eastAsia="zh-CN" w:bidi="ar"/>
              </w:rPr>
              <w:t>（一）水泥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青海互助金圆水泥有限公司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3000t/d、3200t/d新型干法水泥熟料生产线各一条</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167.94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92.53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青海乐都华夏水泥有限公司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2台合计2400t/dJT窑</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87.60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40.45</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93.67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海南州</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共和县祁连山金河水泥有限责任公司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2000t/d新型干法水泥熟料生产线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96.23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青海祁连山水泥有限公司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2500t/d、4500t/d新型干法水泥熟料生产线各一条</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173.03</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96.76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青海宏扬水泥责任有限公司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4000t/d新型干法水泥熟料生产线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114.19</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97.05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青海海西化工建材股份有限公司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2×2500t/d新型干法水泥熟料生产线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90.78</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98.44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青海省新型建材工贸有限责任公司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2000t/d新型干法水泥熟料生产线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64.55</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103.62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青海泰宁水泥有限公司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2000t/d新型干法水泥熟料生产线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107.57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民和祁连山水泥有限公司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2000t/d新型干法水泥熟料生产线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93.00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71.96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107.92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青海盐湖海纳化工有限公司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2500t/d、4600t/d新型干法水泥熟料生产线各一条</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137.71</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112.35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青海江河源水泥有限公司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1000t/d新型干法水泥熟料生产线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10.73</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114.11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青海水泥股份有限公司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1000t/d、1500t/d新型干法水泥熟料1#生产线各一条</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可比熟料综合能耗（kgce/t）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116.04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青海金鼎水泥有限公司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2×2500t/d新型干法水泥熟料生产线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停产，未提供数据，无法核定其能效水平。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15820"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Theme="minorEastAsia" w:hAnsiTheme="minorEastAsia" w:cstheme="minorEastAsia"/>
                <w:b/>
                <w:bCs/>
                <w:i w:val="0"/>
                <w:color w:val="000000"/>
                <w:kern w:val="0"/>
                <w:sz w:val="20"/>
                <w:szCs w:val="20"/>
                <w:u w:val="none"/>
                <w:lang w:val="en-US" w:eastAsia="zh-CN" w:bidi="ar"/>
              </w:rPr>
              <w:t>（二）</w:t>
            </w:r>
            <w:r>
              <w:rPr>
                <w:rFonts w:hint="eastAsia" w:asciiTheme="minorEastAsia" w:hAnsiTheme="minorEastAsia" w:eastAsiaTheme="minorEastAsia" w:cstheme="minorEastAsia"/>
                <w:b/>
                <w:bCs/>
                <w:i w:val="0"/>
                <w:color w:val="000000"/>
                <w:kern w:val="0"/>
                <w:sz w:val="20"/>
                <w:szCs w:val="20"/>
                <w:u w:val="none"/>
                <w:lang w:val="en-US" w:eastAsia="zh-CN" w:bidi="ar"/>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青海耀华特种玻璃股份有限公司</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1条日融化600吨浮法玻璃生产线</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平板玻璃</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360.00 </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226.99</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单位产品能耗  (kgce/重量箱)</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13.05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2021年数据</w:t>
            </w: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5"/>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青海省建材领域企业节能技术改造项目清单</w:t>
      </w:r>
    </w:p>
    <w:tbl>
      <w:tblPr>
        <w:tblStyle w:val="9"/>
        <w:tblW w:w="15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958"/>
        <w:gridCol w:w="1223"/>
        <w:gridCol w:w="888"/>
        <w:gridCol w:w="1179"/>
        <w:gridCol w:w="819"/>
        <w:gridCol w:w="640"/>
        <w:gridCol w:w="3833"/>
        <w:gridCol w:w="1134"/>
        <w:gridCol w:w="1729"/>
        <w:gridCol w:w="1895"/>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37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序</w:t>
            </w:r>
          </w:p>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黑体" w:hAnsi="黑体" w:eastAsia="黑体" w:cs="黑体"/>
                <w:kern w:val="0"/>
                <w:sz w:val="18"/>
                <w:szCs w:val="18"/>
              </w:rPr>
              <w:t>号</w:t>
            </w:r>
          </w:p>
        </w:tc>
        <w:tc>
          <w:tcPr>
            <w:tcW w:w="95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所属重</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黑体" w:hAnsi="黑体" w:eastAsia="黑体" w:cs="黑体"/>
                <w:kern w:val="0"/>
                <w:sz w:val="18"/>
                <w:szCs w:val="18"/>
              </w:rPr>
              <w:t>点领域</w:t>
            </w: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eastAsia="zh-CN"/>
              </w:rPr>
            </w:pPr>
            <w:r>
              <w:rPr>
                <w:rFonts w:hint="eastAsia" w:ascii="黑体" w:hAnsi="黑体" w:eastAsia="黑体" w:cs="黑体"/>
                <w:kern w:val="0"/>
                <w:sz w:val="18"/>
                <w:szCs w:val="18"/>
              </w:rPr>
              <w:t>企业名称</w:t>
            </w:r>
          </w:p>
        </w:tc>
        <w:tc>
          <w:tcPr>
            <w:tcW w:w="88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所在</w:t>
            </w:r>
          </w:p>
          <w:p>
            <w:pPr>
              <w:widowControl/>
              <w:spacing w:line="240" w:lineRule="exact"/>
              <w:jc w:val="center"/>
              <w:textAlignment w:val="center"/>
              <w:rPr>
                <w:rFonts w:hint="eastAsia" w:ascii="宋体" w:hAnsi="宋体" w:eastAsia="宋体" w:cs="Arial"/>
                <w:kern w:val="0"/>
                <w:sz w:val="15"/>
                <w:szCs w:val="15"/>
                <w:lang w:eastAsia="zh-CN"/>
              </w:rPr>
            </w:pPr>
            <w:r>
              <w:rPr>
                <w:rFonts w:hint="eastAsia" w:ascii="黑体" w:hAnsi="黑体" w:eastAsia="黑体" w:cs="黑体"/>
                <w:kern w:val="0"/>
                <w:sz w:val="18"/>
                <w:szCs w:val="18"/>
              </w:rPr>
              <w:t>地区</w:t>
            </w:r>
          </w:p>
        </w:tc>
        <w:tc>
          <w:tcPr>
            <w:tcW w:w="1179"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黑体" w:hAnsi="黑体" w:eastAsia="黑体" w:cs="黑体"/>
                <w:kern w:val="0"/>
                <w:sz w:val="18"/>
                <w:szCs w:val="18"/>
              </w:rPr>
              <w:t>项目名称</w:t>
            </w:r>
          </w:p>
        </w:tc>
        <w:tc>
          <w:tcPr>
            <w:tcW w:w="819"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黑体" w:hAnsi="黑体" w:eastAsia="黑体" w:cs="黑体"/>
                <w:kern w:val="0"/>
                <w:sz w:val="18"/>
                <w:szCs w:val="18"/>
              </w:rPr>
              <w:t>技改投资总额(万元)</w:t>
            </w:r>
          </w:p>
        </w:tc>
        <w:tc>
          <w:tcPr>
            <w:tcW w:w="640"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黑体" w:hAnsi="黑体" w:eastAsia="黑体" w:cs="黑体"/>
                <w:kern w:val="0"/>
                <w:sz w:val="18"/>
                <w:szCs w:val="18"/>
              </w:rPr>
              <w:t>资金</w:t>
            </w:r>
            <w:r>
              <w:rPr>
                <w:rFonts w:hint="eastAsia" w:ascii="黑体" w:hAnsi="黑体" w:eastAsia="黑体" w:cs="黑体"/>
                <w:kern w:val="0"/>
                <w:sz w:val="18"/>
                <w:szCs w:val="18"/>
              </w:rPr>
              <w:br w:type="textWrapping"/>
            </w:r>
            <w:r>
              <w:rPr>
                <w:rFonts w:hint="eastAsia" w:ascii="黑体" w:hAnsi="黑体" w:eastAsia="黑体" w:cs="黑体"/>
                <w:kern w:val="0"/>
                <w:sz w:val="18"/>
                <w:szCs w:val="18"/>
              </w:rPr>
              <w:t>来源</w:t>
            </w:r>
          </w:p>
        </w:tc>
        <w:tc>
          <w:tcPr>
            <w:tcW w:w="3833"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黑体" w:hAnsi="黑体" w:eastAsia="黑体" w:cs="黑体"/>
                <w:kern w:val="0"/>
                <w:sz w:val="18"/>
                <w:szCs w:val="18"/>
              </w:rPr>
              <w:t>技术改造内容</w:t>
            </w:r>
          </w:p>
        </w:tc>
        <w:tc>
          <w:tcPr>
            <w:tcW w:w="1134"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黑体" w:hAnsi="黑体" w:eastAsia="黑体" w:cs="黑体"/>
                <w:kern w:val="0"/>
                <w:sz w:val="18"/>
                <w:szCs w:val="18"/>
              </w:rPr>
              <w:t>实施时间</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黑体" w:hAnsi="黑体" w:eastAsia="黑体" w:cs="黑体"/>
                <w:kern w:val="0"/>
                <w:sz w:val="18"/>
                <w:szCs w:val="18"/>
              </w:rPr>
              <w:t>当前能效水平及所属能效范围</w:t>
            </w:r>
          </w:p>
        </w:tc>
        <w:tc>
          <w:tcPr>
            <w:tcW w:w="1895" w:type="dxa"/>
            <w:vAlign w:val="center"/>
          </w:tcPr>
          <w:p>
            <w:pPr>
              <w:widowControl/>
              <w:spacing w:line="240" w:lineRule="exact"/>
              <w:jc w:val="center"/>
              <w:textAlignment w:val="center"/>
              <w:rPr>
                <w:rFonts w:hint="eastAsia" w:ascii="宋体" w:hAnsi="宋体" w:eastAsia="宋体" w:cs="宋体"/>
                <w:color w:val="FF0000"/>
                <w:sz w:val="15"/>
                <w:szCs w:val="15"/>
              </w:rPr>
            </w:pPr>
            <w:r>
              <w:rPr>
                <w:rFonts w:hint="eastAsia" w:ascii="黑体" w:hAnsi="黑体" w:eastAsia="黑体" w:cs="黑体"/>
                <w:kern w:val="0"/>
                <w:sz w:val="18"/>
                <w:szCs w:val="18"/>
              </w:rPr>
              <w:t>改造后预期</w:t>
            </w:r>
            <w:r>
              <w:rPr>
                <w:rFonts w:hint="eastAsia" w:ascii="黑体" w:hAnsi="黑体" w:eastAsia="黑体" w:cs="黑体"/>
                <w:kern w:val="0"/>
                <w:sz w:val="18"/>
                <w:szCs w:val="18"/>
                <w:lang w:eastAsia="zh-CN"/>
              </w:rPr>
              <w:t>效果</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ascii="黑体" w:hAnsi="黑体" w:eastAsia="黑体" w:cs="黑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02" w:type="dxa"/>
            <w:gridSpan w:val="12"/>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黑体" w:hAnsi="黑体" w:eastAsia="黑体" w:cs="黑体"/>
                <w:kern w:val="0"/>
                <w:sz w:val="15"/>
                <w:szCs w:val="15"/>
                <w:lang w:eastAsia="zh-CN"/>
              </w:rPr>
              <w:t>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w:t>
            </w:r>
          </w:p>
        </w:tc>
        <w:tc>
          <w:tcPr>
            <w:tcW w:w="958" w:type="dxa"/>
            <w:vMerge w:val="restart"/>
            <w:vAlign w:val="center"/>
          </w:tcPr>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eastAsia="zh-CN"/>
              </w:rPr>
              <w:t>平板玻璃</w:t>
            </w:r>
          </w:p>
        </w:tc>
        <w:tc>
          <w:tcPr>
            <w:tcW w:w="1223"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青海耀华特种玻璃股份有限公司</w:t>
            </w:r>
          </w:p>
        </w:tc>
        <w:tc>
          <w:tcPr>
            <w:tcW w:w="888"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青海省海东市乐都区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sz w:val="15"/>
                <w:szCs w:val="15"/>
              </w:rPr>
              <w:t>天然气磁化</w:t>
            </w:r>
          </w:p>
        </w:tc>
        <w:tc>
          <w:tcPr>
            <w:tcW w:w="81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22</w:t>
            </w:r>
          </w:p>
        </w:tc>
        <w:tc>
          <w:tcPr>
            <w:tcW w:w="640"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sz w:val="15"/>
                <w:szCs w:val="15"/>
              </w:rPr>
              <w:t>在天然气管道上加装磁化装置</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2022年5月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单位产品能耗</w:t>
            </w:r>
          </w:p>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13.05千克标煤/重量箱</w:t>
            </w:r>
          </w:p>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lang w:eastAsia="zh-CN"/>
              </w:rPr>
              <w:t>（基准水平）</w:t>
            </w:r>
          </w:p>
        </w:tc>
        <w:tc>
          <w:tcPr>
            <w:tcW w:w="1895" w:type="dxa"/>
            <w:vMerge w:val="restart"/>
            <w:vAlign w:val="center"/>
          </w:tcPr>
          <w:p>
            <w:pPr>
              <w:widowControl/>
              <w:spacing w:line="240" w:lineRule="exact"/>
              <w:jc w:val="left"/>
              <w:textAlignment w:val="center"/>
              <w:rPr>
                <w:rFonts w:hint="eastAsia" w:ascii="宋体" w:hAnsi="宋体" w:eastAsia="宋体" w:cs="Arial"/>
                <w:color w:val="FF0000"/>
                <w:kern w:val="0"/>
                <w:sz w:val="15"/>
                <w:szCs w:val="15"/>
                <w:lang w:val="en-US" w:eastAsia="zh-CN"/>
              </w:rPr>
            </w:pPr>
            <w:r>
              <w:rPr>
                <w:rFonts w:hint="eastAsia" w:ascii="宋体" w:hAnsi="宋体" w:eastAsia="宋体" w:cs="Arial"/>
                <w:kern w:val="0"/>
                <w:sz w:val="15"/>
                <w:szCs w:val="15"/>
              </w:rPr>
              <w:t>单位产品能耗</w:t>
            </w:r>
            <w:r>
              <w:rPr>
                <w:rFonts w:hint="eastAsia" w:ascii="宋体" w:hAnsi="宋体" w:eastAsia="宋体" w:cs="宋体"/>
                <w:kern w:val="0"/>
                <w:sz w:val="15"/>
                <w:szCs w:val="15"/>
                <w:lang w:val="en-US" w:eastAsia="zh-CN"/>
              </w:rPr>
              <w:t>11.96</w:t>
            </w:r>
            <w:r>
              <w:rPr>
                <w:rFonts w:hint="eastAsia" w:ascii="宋体" w:hAnsi="宋体" w:eastAsia="宋体" w:cs="Arial"/>
                <w:kern w:val="0"/>
                <w:sz w:val="15"/>
                <w:szCs w:val="15"/>
              </w:rPr>
              <w:t>千克标煤/重量箱</w:t>
            </w:r>
            <w:r>
              <w:rPr>
                <w:rFonts w:hint="eastAsia" w:ascii="宋体" w:hAnsi="宋体" w:eastAsia="宋体" w:cs="宋体"/>
                <w:sz w:val="15"/>
                <w:szCs w:val="15"/>
                <w:lang w:eastAsia="zh-CN"/>
              </w:rPr>
              <w:t>（基准水平）</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改造</w:t>
            </w:r>
          </w:p>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kern w:val="0"/>
                <w:sz w:val="15"/>
                <w:szCs w:val="15"/>
                <w:lang w:eastAsia="zh-CN"/>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888"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kern w:val="0"/>
                <w:sz w:val="15"/>
                <w:szCs w:val="15"/>
              </w:rPr>
              <w:t>外墙保温</w:t>
            </w:r>
          </w:p>
        </w:tc>
        <w:tc>
          <w:tcPr>
            <w:tcW w:w="81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kern w:val="0"/>
                <w:sz w:val="15"/>
                <w:szCs w:val="15"/>
              </w:rPr>
              <w:t>50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kern w:val="0"/>
                <w:sz w:val="15"/>
                <w:szCs w:val="15"/>
              </w:rPr>
              <w:t>熔窑及蓄热室外墙保温</w:t>
            </w:r>
            <w:r>
              <w:rPr>
                <w:rFonts w:hint="eastAsia" w:ascii="宋体" w:hAnsi="宋体" w:eastAsia="宋体" w:cs="宋体"/>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2023年5月</w:t>
            </w:r>
          </w:p>
        </w:tc>
        <w:tc>
          <w:tcPr>
            <w:tcW w:w="1729"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center"/>
              <w:textAlignment w:val="center"/>
              <w:rPr>
                <w:rFonts w:hint="eastAsia" w:ascii="宋体" w:hAnsi="宋体" w:eastAsia="宋体" w:cs="Arial"/>
                <w:color w:val="FF0000"/>
                <w:kern w:val="0"/>
                <w:sz w:val="15"/>
                <w:szCs w:val="15"/>
                <w:lang w:val="en-US" w:eastAsia="zh-CN"/>
              </w:rPr>
            </w:pP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改造</w:t>
            </w:r>
          </w:p>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kern w:val="0"/>
                <w:sz w:val="15"/>
                <w:szCs w:val="15"/>
                <w:lang w:eastAsia="zh-CN"/>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888"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sz w:val="15"/>
                <w:szCs w:val="15"/>
              </w:rPr>
              <w:t>太阳能发电</w:t>
            </w:r>
          </w:p>
        </w:tc>
        <w:tc>
          <w:tcPr>
            <w:tcW w:w="81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100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sz w:val="15"/>
                <w:szCs w:val="15"/>
              </w:rPr>
              <w:t>利用厂房屋顶及空地安装太阳能发电设备</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2023年5月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2023年12月</w:t>
            </w:r>
          </w:p>
        </w:tc>
        <w:tc>
          <w:tcPr>
            <w:tcW w:w="1729"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center"/>
              <w:textAlignment w:val="center"/>
              <w:rPr>
                <w:rFonts w:hint="eastAsia" w:ascii="宋体" w:hAnsi="宋体" w:eastAsia="宋体" w:cs="Arial"/>
                <w:color w:val="FF0000"/>
                <w:kern w:val="0"/>
                <w:sz w:val="15"/>
                <w:szCs w:val="15"/>
                <w:lang w:val="en-US" w:eastAsia="zh-CN"/>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1223"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888"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sz w:val="15"/>
                <w:szCs w:val="15"/>
              </w:rPr>
              <w:t>更换淘汰电机</w:t>
            </w:r>
          </w:p>
        </w:tc>
        <w:tc>
          <w:tcPr>
            <w:tcW w:w="81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200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sz w:val="15"/>
                <w:szCs w:val="15"/>
              </w:rPr>
              <w:t>陆续更换淘汰落后低效电机</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2024年12月</w:t>
            </w:r>
          </w:p>
        </w:tc>
        <w:tc>
          <w:tcPr>
            <w:tcW w:w="1729"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center"/>
              <w:textAlignment w:val="center"/>
              <w:rPr>
                <w:rFonts w:hint="eastAsia" w:ascii="宋体" w:hAnsi="宋体" w:eastAsia="宋体" w:cs="Arial"/>
                <w:color w:val="FF0000"/>
                <w:kern w:val="0"/>
                <w:sz w:val="15"/>
                <w:szCs w:val="15"/>
                <w:lang w:val="en-US" w:eastAsia="zh-CN"/>
              </w:rPr>
            </w:pPr>
          </w:p>
        </w:tc>
        <w:tc>
          <w:tcPr>
            <w:tcW w:w="726" w:type="dxa"/>
            <w:vAlign w:val="center"/>
          </w:tcPr>
          <w:p>
            <w:pPr>
              <w:widowControl/>
              <w:spacing w:line="240" w:lineRule="exact"/>
              <w:jc w:val="left"/>
              <w:textAlignment w:val="center"/>
              <w:rPr>
                <w:rFonts w:hint="eastAsia" w:ascii="宋体" w:hAnsi="宋体" w:eastAsia="宋体" w:cs="Arial"/>
                <w:kern w:val="0"/>
                <w:sz w:val="15"/>
                <w:szCs w:val="15"/>
              </w:rPr>
            </w:pPr>
            <w:r>
              <w:rPr>
                <w:rFonts w:hint="eastAsia" w:ascii="宋体" w:hAnsi="宋体" w:eastAsia="宋体" w:cs="宋体"/>
                <w:kern w:val="0"/>
                <w:sz w:val="15"/>
                <w:szCs w:val="15"/>
                <w:lang w:val="en" w:eastAsia="zh-CN" w:bidi="ar-SA"/>
              </w:rPr>
              <w:t>淘汰设备更新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rPr>
            </w:pPr>
            <w:r>
              <w:rPr>
                <w:rFonts w:hint="eastAsia" w:ascii="宋体" w:hAnsi="宋体" w:eastAsia="宋体" w:cs="宋体"/>
                <w:sz w:val="15"/>
                <w:szCs w:val="15"/>
              </w:rPr>
              <w:t>更换3台环保电机</w:t>
            </w:r>
          </w:p>
        </w:tc>
        <w:tc>
          <w:tcPr>
            <w:tcW w:w="81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20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2022年10月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2022年11月</w:t>
            </w:r>
          </w:p>
        </w:tc>
        <w:tc>
          <w:tcPr>
            <w:tcW w:w="1729"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center"/>
              <w:textAlignment w:val="center"/>
              <w:rPr>
                <w:rFonts w:hint="eastAsia" w:ascii="宋体" w:hAnsi="宋体" w:eastAsia="宋体" w:cs="Arial"/>
                <w:color w:val="FF0000"/>
                <w:kern w:val="0"/>
                <w:sz w:val="15"/>
                <w:szCs w:val="15"/>
                <w:lang w:val="en-US" w:eastAsia="zh-CN"/>
              </w:rPr>
            </w:pPr>
          </w:p>
        </w:tc>
        <w:tc>
          <w:tcPr>
            <w:tcW w:w="726" w:type="dxa"/>
            <w:vAlign w:val="center"/>
          </w:tcPr>
          <w:p>
            <w:pPr>
              <w:widowControl/>
              <w:spacing w:line="240" w:lineRule="exact"/>
              <w:jc w:val="left"/>
              <w:textAlignment w:val="center"/>
              <w:rPr>
                <w:rFonts w:hint="eastAsia" w:ascii="宋体" w:hAnsi="宋体" w:eastAsia="宋体" w:cs="Arial"/>
                <w:kern w:val="0"/>
                <w:sz w:val="15"/>
                <w:szCs w:val="15"/>
              </w:rPr>
            </w:pPr>
            <w:r>
              <w:rPr>
                <w:rFonts w:hint="eastAsia" w:ascii="宋体" w:hAnsi="宋体" w:eastAsia="宋体" w:cs="宋体"/>
                <w:kern w:val="0"/>
                <w:sz w:val="15"/>
                <w:szCs w:val="15"/>
                <w:lang w:val="en" w:eastAsia="zh-CN" w:bidi="ar-SA"/>
              </w:rPr>
              <w:t>淘汰设备更新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402" w:type="dxa"/>
            <w:gridSpan w:val="12"/>
            <w:vAlign w:val="center"/>
          </w:tcPr>
          <w:p>
            <w:pPr>
              <w:widowControl/>
              <w:spacing w:line="240" w:lineRule="exact"/>
              <w:jc w:val="center"/>
              <w:textAlignment w:val="center"/>
              <w:rPr>
                <w:rFonts w:hint="eastAsia" w:ascii="宋体" w:hAnsi="宋体" w:eastAsia="宋体" w:cs="宋体"/>
                <w:kern w:val="0"/>
                <w:sz w:val="15"/>
                <w:szCs w:val="15"/>
                <w:lang w:val="en" w:eastAsia="zh-CN" w:bidi="ar-SA"/>
              </w:rPr>
            </w:pPr>
            <w:r>
              <w:rPr>
                <w:rFonts w:hint="eastAsia" w:ascii="黑体" w:hAnsi="黑体" w:eastAsia="黑体" w:cs="黑体"/>
                <w:kern w:val="0"/>
                <w:sz w:val="15"/>
                <w:szCs w:val="15"/>
                <w:lang w:val="en" w:eastAsia="zh-CN"/>
              </w:rPr>
              <w:t>水泥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rPr>
              <w:t>2</w:t>
            </w:r>
          </w:p>
        </w:tc>
        <w:tc>
          <w:tcPr>
            <w:tcW w:w="958" w:type="dxa"/>
            <w:vMerge w:val="restart"/>
            <w:vAlign w:val="center"/>
          </w:tcPr>
          <w:p>
            <w:pPr>
              <w:widowControl/>
              <w:spacing w:line="240" w:lineRule="exact"/>
              <w:jc w:val="center"/>
              <w:textAlignment w:val="center"/>
              <w:rPr>
                <w:rFonts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水泥</w:t>
            </w:r>
          </w:p>
        </w:tc>
        <w:tc>
          <w:tcPr>
            <w:tcW w:w="122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青海盐湖海纳化工有限公司</w:t>
            </w:r>
          </w:p>
        </w:tc>
        <w:tc>
          <w:tcPr>
            <w:tcW w:w="888" w:type="dxa"/>
            <w:vAlign w:val="center"/>
          </w:tcPr>
          <w:p>
            <w:pPr>
              <w:widowControl/>
              <w:spacing w:line="240" w:lineRule="exact"/>
              <w:jc w:val="left"/>
              <w:textAlignment w:val="center"/>
              <w:rPr>
                <w:rFonts w:hint="eastAsia" w:ascii="宋体" w:hAnsi="宋体" w:eastAsia="宋体" w:cs="宋体"/>
                <w:sz w:val="15"/>
                <w:szCs w:val="15"/>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rPr>
            </w:pPr>
            <w:r>
              <w:rPr>
                <w:rFonts w:hint="eastAsia" w:ascii="宋体" w:hAnsi="宋体" w:eastAsia="宋体" w:cs="宋体"/>
                <w:sz w:val="15"/>
                <w:szCs w:val="15"/>
              </w:rPr>
              <w:t>甘河水泥厂2500t/d水泥熟料生产线余热综合利用节能技术改造项目</w:t>
            </w:r>
          </w:p>
        </w:tc>
        <w:tc>
          <w:tcPr>
            <w:tcW w:w="819"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1950</w:t>
            </w:r>
          </w:p>
        </w:tc>
        <w:tc>
          <w:tcPr>
            <w:tcW w:w="640"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eastAsia="zh-CN"/>
              </w:rPr>
            </w:pPr>
            <w:r>
              <w:rPr>
                <w:rFonts w:hint="eastAsia" w:ascii="宋体" w:hAnsi="宋体" w:eastAsia="宋体" w:cs="宋体"/>
                <w:sz w:val="15"/>
                <w:szCs w:val="15"/>
              </w:rPr>
              <w:t>建设水泥窑窑头AQC余热锅炉；建设水泥窑窑尾SP余热锅炉；配套相应化学水处理和电气自动化控制系统。生产蒸汽31t/h，压力1MPa，温度290℃</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2024年5月</w:t>
            </w:r>
          </w:p>
        </w:tc>
        <w:tc>
          <w:tcPr>
            <w:tcW w:w="1729"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可比熟料综合能耗112.35</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）（基准水平）</w:t>
            </w:r>
          </w:p>
        </w:tc>
        <w:tc>
          <w:tcPr>
            <w:tcW w:w="1895"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eastAsia="zh-CN"/>
              </w:rPr>
              <w:t>可比</w:t>
            </w:r>
            <w:r>
              <w:rPr>
                <w:rFonts w:hint="eastAsia" w:ascii="宋体" w:hAnsi="宋体" w:eastAsia="宋体" w:cs="宋体"/>
                <w:sz w:val="15"/>
                <w:szCs w:val="15"/>
              </w:rPr>
              <w:t>熟料综合能耗111.24</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）（基准水平）</w:t>
            </w:r>
          </w:p>
        </w:tc>
        <w:tc>
          <w:tcPr>
            <w:tcW w:w="726" w:type="dxa"/>
            <w:vAlign w:val="center"/>
          </w:tcPr>
          <w:p>
            <w:pPr>
              <w:widowControl/>
              <w:spacing w:line="240" w:lineRule="exact"/>
              <w:jc w:val="left"/>
              <w:textAlignment w:val="center"/>
              <w:rPr>
                <w:rFonts w:hint="eastAsia" w:ascii="宋体" w:hAnsi="宋体" w:eastAsia="宋体" w:cs="宋体"/>
                <w:sz w:val="15"/>
                <w:szCs w:val="15"/>
                <w:lang w:val="en" w:eastAsia="zh-CN"/>
              </w:rPr>
            </w:pPr>
            <w:r>
              <w:rPr>
                <w:rFonts w:hint="eastAsia" w:ascii="宋体" w:hAnsi="宋体" w:eastAsia="宋体" w:cs="宋体"/>
                <w:sz w:val="15"/>
                <w:szCs w:val="15"/>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rPr>
              <w:t>3</w:t>
            </w:r>
          </w:p>
        </w:tc>
        <w:tc>
          <w:tcPr>
            <w:tcW w:w="958" w:type="dxa"/>
            <w:vMerge w:val="continue"/>
            <w:vAlign w:val="center"/>
          </w:tcPr>
          <w:p>
            <w:pPr>
              <w:widowControl/>
              <w:spacing w:line="240" w:lineRule="exact"/>
              <w:jc w:val="center"/>
              <w:textAlignment w:val="center"/>
              <w:rPr>
                <w:rFonts w:ascii="宋体" w:hAnsi="宋体" w:eastAsia="宋体" w:cs="宋体"/>
                <w:kern w:val="2"/>
                <w:sz w:val="15"/>
                <w:szCs w:val="15"/>
                <w:lang w:val="en-US" w:eastAsia="zh-CN" w:bidi="ar-SA"/>
              </w:rPr>
            </w:pPr>
          </w:p>
        </w:tc>
        <w:tc>
          <w:tcPr>
            <w:tcW w:w="1223" w:type="dxa"/>
            <w:vMerge w:val="restart"/>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青海祁连山水泥有限公司</w:t>
            </w:r>
          </w:p>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restart"/>
            <w:vAlign w:val="center"/>
          </w:tcPr>
          <w:p>
            <w:pPr>
              <w:widowControl/>
              <w:spacing w:line="240" w:lineRule="exact"/>
              <w:jc w:val="left"/>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青海省</w:t>
            </w:r>
            <w:r>
              <w:rPr>
                <w:rFonts w:hint="eastAsia" w:ascii="宋体" w:hAnsi="宋体" w:eastAsia="宋体" w:cs="宋体"/>
                <w:sz w:val="15"/>
                <w:szCs w:val="15"/>
              </w:rPr>
              <w:t>西宁</w:t>
            </w:r>
            <w:r>
              <w:rPr>
                <w:rFonts w:hint="eastAsia" w:ascii="宋体" w:hAnsi="宋体" w:eastAsia="宋体" w:cs="宋体"/>
                <w:sz w:val="15"/>
                <w:szCs w:val="15"/>
                <w:lang w:eastAsia="zh-CN"/>
              </w:rPr>
              <w:t>湟中区</w:t>
            </w:r>
          </w:p>
          <w:p>
            <w:pPr>
              <w:widowControl/>
              <w:spacing w:line="240" w:lineRule="exact"/>
              <w:jc w:val="left"/>
              <w:textAlignment w:val="center"/>
              <w:rPr>
                <w:rFonts w:hint="eastAsia" w:ascii="宋体" w:hAnsi="宋体" w:eastAsia="宋体" w:cs="宋体"/>
                <w:sz w:val="15"/>
                <w:szCs w:val="15"/>
                <w:lang w:val="en-US" w:eastAsia="zh-CN"/>
              </w:rPr>
            </w:pP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太阳能路灯改造</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54</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将全厂路灯更换为太阳能路灯，太阳能板采用满足容量需求单晶硅太阳能板；光源采用80瓦LED飞利浦、松下、欧司朗、欧普等知名品牌；采用具有光控+时控的多控制功能微电脑智能控制方式，随季节变化实现智能化控制。</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2022年10月</w:t>
            </w:r>
          </w:p>
        </w:tc>
        <w:tc>
          <w:tcPr>
            <w:tcW w:w="1729"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96.76</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）（标杆水平）</w:t>
            </w:r>
          </w:p>
        </w:tc>
        <w:tc>
          <w:tcPr>
            <w:tcW w:w="1895" w:type="dxa"/>
            <w:vMerge w:val="restart"/>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宋体" w:hAnsi="宋体" w:eastAsia="宋体" w:cs="宋体"/>
                <w:color w:val="FF0000"/>
                <w:kern w:val="2"/>
                <w:sz w:val="15"/>
                <w:szCs w:val="15"/>
                <w:lang w:val="en-US" w:eastAsia="zh-CN" w:bidi="ar-SA"/>
              </w:rPr>
            </w:pPr>
            <w:r>
              <w:rPr>
                <w:rFonts w:hint="eastAsia" w:ascii="宋体" w:hAnsi="宋体" w:eastAsia="宋体" w:cs="宋体"/>
                <w:color w:val="auto"/>
                <w:sz w:val="15"/>
                <w:szCs w:val="15"/>
                <w:lang w:eastAsia="zh-CN"/>
              </w:rPr>
              <w:t>可比</w:t>
            </w:r>
            <w:r>
              <w:rPr>
                <w:rFonts w:hint="eastAsia" w:ascii="宋体" w:hAnsi="宋体" w:eastAsia="宋体" w:cs="宋体"/>
                <w:color w:val="auto"/>
                <w:sz w:val="15"/>
                <w:szCs w:val="15"/>
              </w:rPr>
              <w:t>熟料综合能耗</w:t>
            </w:r>
            <w:r>
              <w:rPr>
                <w:rFonts w:hint="eastAsia" w:ascii="宋体" w:hAnsi="宋体" w:eastAsia="宋体" w:cs="宋体"/>
                <w:color w:val="auto"/>
                <w:sz w:val="15"/>
                <w:szCs w:val="15"/>
                <w:lang w:val="en-US" w:eastAsia="zh-CN"/>
              </w:rPr>
              <w:t>96</w:t>
            </w:r>
            <w:r>
              <w:rPr>
                <w:rFonts w:hint="eastAsia" w:ascii="宋体" w:hAnsi="宋体" w:eastAsia="宋体" w:cs="宋体"/>
                <w:color w:val="auto"/>
                <w:sz w:val="15"/>
                <w:szCs w:val="15"/>
                <w:lang w:eastAsia="zh-CN"/>
              </w:rPr>
              <w:t>（</w:t>
            </w:r>
            <w:r>
              <w:rPr>
                <w:rFonts w:hint="eastAsia" w:ascii="宋体" w:hAnsi="宋体" w:eastAsia="宋体" w:cs="宋体"/>
                <w:color w:val="auto"/>
                <w:sz w:val="15"/>
                <w:szCs w:val="15"/>
              </w:rPr>
              <w:t>kgce/t</w:t>
            </w:r>
            <w:r>
              <w:rPr>
                <w:rFonts w:hint="eastAsia" w:ascii="宋体" w:hAnsi="宋体" w:eastAsia="宋体" w:cs="宋体"/>
                <w:color w:val="auto"/>
                <w:sz w:val="15"/>
                <w:szCs w:val="15"/>
                <w:lang w:eastAsia="zh-CN"/>
              </w:rPr>
              <w: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 w:eastAsia="zh-CN"/>
              </w:rPr>
            </w:pPr>
            <w:r>
              <w:rPr>
                <w:rFonts w:hint="eastAsia" w:ascii="宋体" w:hAnsi="宋体" w:eastAsia="宋体" w:cs="宋体"/>
                <w:sz w:val="15"/>
                <w:szCs w:val="15"/>
              </w:rPr>
              <w:t>升级改造</w:t>
            </w:r>
            <w:r>
              <w:rPr>
                <w:rFonts w:hint="eastAsia" w:ascii="宋体" w:hAnsi="宋体" w:eastAsia="宋体" w:cs="宋体"/>
                <w:sz w:val="15"/>
                <w:szCs w:val="15"/>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1#篦冷机节能改造</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1680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将原LBTF2750第三代篦冷机拆除，改为第四代篦冷机。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2022年5月</w:t>
            </w:r>
          </w:p>
        </w:tc>
        <w:tc>
          <w:tcPr>
            <w:tcW w:w="1729"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宋体" w:hAnsi="宋体" w:eastAsia="宋体" w:cs="宋体"/>
                <w:color w:val="FF0000"/>
                <w:kern w:val="2"/>
                <w:sz w:val="15"/>
                <w:szCs w:val="15"/>
                <w:lang w:val="en-US" w:eastAsia="zh-CN" w:bidi="ar-SA"/>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 w:eastAsia="zh-CN"/>
              </w:rPr>
            </w:pPr>
            <w:r>
              <w:rPr>
                <w:rFonts w:hint="eastAsia" w:ascii="宋体" w:hAnsi="宋体" w:eastAsia="宋体" w:cs="宋体"/>
                <w:sz w:val="15"/>
                <w:szCs w:val="15"/>
              </w:rPr>
              <w:t>升级改造</w:t>
            </w:r>
            <w:r>
              <w:rPr>
                <w:rFonts w:hint="eastAsia" w:ascii="宋体" w:hAnsi="宋体" w:eastAsia="宋体" w:cs="宋体"/>
                <w:sz w:val="15"/>
                <w:szCs w:val="15"/>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3</w:t>
            </w:r>
          </w:p>
        </w:tc>
        <w:tc>
          <w:tcPr>
            <w:tcW w:w="95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kern w:val="2"/>
                <w:sz w:val="15"/>
                <w:szCs w:val="15"/>
                <w:lang w:val="en-US" w:eastAsia="zh-CN" w:bidi="ar-SA"/>
              </w:rPr>
              <w:t>水泥</w:t>
            </w:r>
          </w:p>
        </w:tc>
        <w:tc>
          <w:tcPr>
            <w:tcW w:w="1223" w:type="dxa"/>
            <w:vMerge w:val="restart"/>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青海祁连山水泥有限公司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lang w:eastAsia="zh-CN"/>
              </w:rPr>
              <w:t>青海省</w:t>
            </w:r>
            <w:r>
              <w:rPr>
                <w:rFonts w:hint="eastAsia" w:ascii="宋体" w:hAnsi="宋体" w:eastAsia="宋体" w:cs="宋体"/>
                <w:sz w:val="15"/>
                <w:szCs w:val="15"/>
              </w:rPr>
              <w:t>西宁</w:t>
            </w:r>
            <w:r>
              <w:rPr>
                <w:rFonts w:hint="eastAsia" w:ascii="宋体" w:hAnsi="宋体" w:eastAsia="宋体" w:cs="宋体"/>
                <w:sz w:val="15"/>
                <w:szCs w:val="15"/>
                <w:lang w:eastAsia="zh-CN"/>
              </w:rPr>
              <w:t>湟中区</w:t>
            </w: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二线尾煤输送风机改造</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50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拆除原罗茨风机，利用现有设备基础上直接放置高效节能悬浮离心风机，与原有管道连接后即可使用</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2023年5月</w:t>
            </w:r>
          </w:p>
        </w:tc>
        <w:tc>
          <w:tcPr>
            <w:tcW w:w="1729"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96.76</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）（标杆水平）</w:t>
            </w:r>
          </w:p>
        </w:tc>
        <w:tc>
          <w:tcPr>
            <w:tcW w:w="1895"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auto"/>
                <w:sz w:val="15"/>
                <w:szCs w:val="15"/>
                <w:lang w:eastAsia="zh-CN"/>
              </w:rPr>
              <w:t>可比</w:t>
            </w:r>
            <w:r>
              <w:rPr>
                <w:rFonts w:hint="eastAsia" w:ascii="宋体" w:hAnsi="宋体" w:eastAsia="宋体" w:cs="宋体"/>
                <w:color w:val="auto"/>
                <w:sz w:val="15"/>
                <w:szCs w:val="15"/>
              </w:rPr>
              <w:t>熟料综合能耗</w:t>
            </w:r>
            <w:r>
              <w:rPr>
                <w:rFonts w:hint="eastAsia" w:ascii="宋体" w:hAnsi="宋体" w:eastAsia="宋体" w:cs="宋体"/>
                <w:color w:val="auto"/>
                <w:sz w:val="15"/>
                <w:szCs w:val="15"/>
                <w:lang w:val="en-US" w:eastAsia="zh-CN"/>
              </w:rPr>
              <w:t>95.7</w:t>
            </w:r>
            <w:r>
              <w:rPr>
                <w:rFonts w:hint="eastAsia" w:ascii="宋体" w:hAnsi="宋体" w:eastAsia="宋体" w:cs="宋体"/>
                <w:color w:val="auto"/>
                <w:sz w:val="15"/>
                <w:szCs w:val="15"/>
                <w:lang w:eastAsia="zh-CN"/>
              </w:rPr>
              <w:t>（</w:t>
            </w:r>
            <w:r>
              <w:rPr>
                <w:rFonts w:hint="eastAsia" w:ascii="宋体" w:hAnsi="宋体" w:eastAsia="宋体" w:cs="宋体"/>
                <w:color w:val="auto"/>
                <w:sz w:val="15"/>
                <w:szCs w:val="15"/>
              </w:rPr>
              <w:t>kgce/t</w:t>
            </w:r>
            <w:r>
              <w:rPr>
                <w:rFonts w:hint="eastAsia" w:ascii="宋体" w:hAnsi="宋体" w:eastAsia="宋体" w:cs="宋体"/>
                <w:color w:val="auto"/>
                <w:sz w:val="15"/>
                <w:szCs w:val="15"/>
                <w:lang w:eastAsia="zh-CN"/>
              </w:rPr>
              <w: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 w:eastAsia="zh-CN"/>
              </w:rPr>
            </w:pPr>
            <w:r>
              <w:rPr>
                <w:rFonts w:hint="eastAsia" w:ascii="宋体" w:hAnsi="宋体" w:eastAsia="宋体" w:cs="宋体"/>
                <w:sz w:val="15"/>
                <w:szCs w:val="15"/>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center"/>
              <w:textAlignment w:val="center"/>
              <w:rPr>
                <w:rFonts w:hint="eastAsia"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二线均化库罗茨风机节能改造</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60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原风机拆除后，利用现有设备基础上直接放置高效节能悬浮离心风机，与原有管道连接后即可使用。</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2023年5月</w:t>
            </w:r>
          </w:p>
        </w:tc>
        <w:tc>
          <w:tcPr>
            <w:tcW w:w="1729"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center"/>
              <w:outlineLvl w:val="9"/>
              <w:rPr>
                <w:rFonts w:hint="eastAsia" w:ascii="宋体" w:hAnsi="宋体" w:eastAsia="宋体" w:cs="宋体"/>
                <w:color w:val="FF0000"/>
                <w:kern w:val="2"/>
                <w:sz w:val="15"/>
                <w:szCs w:val="15"/>
                <w:lang w:val="en-US" w:eastAsia="zh-CN" w:bidi="ar-SA"/>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 w:eastAsia="zh-CN"/>
              </w:rPr>
            </w:pPr>
            <w:r>
              <w:rPr>
                <w:rFonts w:hint="eastAsia" w:ascii="宋体" w:hAnsi="宋体" w:eastAsia="宋体" w:cs="宋体"/>
                <w:sz w:val="15"/>
                <w:szCs w:val="15"/>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4</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民和祁连山水泥有限公司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青海省</w:t>
            </w:r>
            <w:r>
              <w:rPr>
                <w:rFonts w:hint="eastAsia" w:ascii="宋体" w:hAnsi="宋体" w:eastAsia="宋体" w:cs="宋体"/>
                <w:sz w:val="15"/>
                <w:szCs w:val="15"/>
              </w:rPr>
              <w:t>海东市</w:t>
            </w:r>
            <w:r>
              <w:rPr>
                <w:rFonts w:hint="eastAsia" w:ascii="宋体" w:hAnsi="宋体" w:eastAsia="宋体" w:cs="宋体"/>
                <w:sz w:val="15"/>
                <w:szCs w:val="15"/>
                <w:lang w:eastAsia="zh-CN"/>
              </w:rPr>
              <w:t>民和县</w:t>
            </w:r>
          </w:p>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两级变频空压机改造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101.8</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1</w:t>
            </w:r>
            <w:r>
              <w:rPr>
                <w:rFonts w:hint="eastAsia" w:ascii="宋体" w:hAnsi="宋体" w:eastAsia="宋体" w:cs="宋体"/>
                <w:sz w:val="15"/>
                <w:szCs w:val="15"/>
                <w:lang w:eastAsia="zh-CN"/>
              </w:rPr>
              <w:t>.</w:t>
            </w:r>
            <w:r>
              <w:rPr>
                <w:rFonts w:hint="eastAsia" w:ascii="宋体" w:hAnsi="宋体" w:eastAsia="宋体" w:cs="宋体"/>
                <w:sz w:val="15"/>
                <w:szCs w:val="15"/>
              </w:rPr>
              <w:t>熟料作业区改造安装1台315Kw两级变频压缩空压机，拆除原有的2台空压机，剩余2台和新安装空压机联锁作为备用。2</w:t>
            </w:r>
            <w:r>
              <w:rPr>
                <w:rFonts w:hint="eastAsia" w:ascii="宋体" w:hAnsi="宋体" w:eastAsia="宋体" w:cs="宋体"/>
                <w:sz w:val="15"/>
                <w:szCs w:val="15"/>
                <w:lang w:val="en-US" w:eastAsia="zh-CN"/>
              </w:rPr>
              <w:t>.</w:t>
            </w:r>
            <w:r>
              <w:rPr>
                <w:rFonts w:hint="eastAsia" w:ascii="宋体" w:hAnsi="宋体" w:eastAsia="宋体" w:cs="宋体"/>
                <w:sz w:val="15"/>
                <w:szCs w:val="15"/>
              </w:rPr>
              <w:t>水泥作业区改造安装1台110kw双级工频空压机,拆除原有的2台施耐德空压机。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2022年4月</w:t>
            </w:r>
          </w:p>
        </w:tc>
        <w:tc>
          <w:tcPr>
            <w:tcW w:w="1729"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107.92</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（基准水平）</w:t>
            </w:r>
          </w:p>
        </w:tc>
        <w:tc>
          <w:tcPr>
            <w:tcW w:w="1895"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可比熟料综合能耗100.78</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）（基准水平）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升级改造</w:t>
            </w:r>
            <w:r>
              <w:rPr>
                <w:rFonts w:hint="eastAsia" w:ascii="宋体" w:hAnsi="宋体" w:eastAsia="宋体" w:cs="宋体"/>
                <w:sz w:val="15"/>
                <w:szCs w:val="15"/>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窑尾煤送煤及均化库底罗茨风机节能改造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49</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拆除原高耗能罗茨风机，改造为高效节能悬浮离心风机。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2022年4月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升级改造</w:t>
            </w:r>
            <w:r>
              <w:rPr>
                <w:rFonts w:hint="eastAsia" w:ascii="宋体" w:hAnsi="宋体" w:eastAsia="宋体" w:cs="宋体"/>
                <w:sz w:val="15"/>
                <w:szCs w:val="15"/>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水泥窑降阻脱硝改造</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552</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1.</w:t>
            </w:r>
            <w:r>
              <w:rPr>
                <w:rFonts w:hint="eastAsia" w:ascii="宋体" w:hAnsi="宋体" w:eastAsia="宋体" w:cs="宋体"/>
                <w:sz w:val="15"/>
                <w:szCs w:val="15"/>
              </w:rPr>
              <w:t>C1旋风筒出口管道优化改造：原C 1出口分支管道管径扩径到2500mm；</w:t>
            </w:r>
            <w:r>
              <w:rPr>
                <w:rFonts w:hint="eastAsia" w:ascii="宋体" w:hAnsi="宋体" w:eastAsia="宋体" w:cs="宋体"/>
                <w:sz w:val="15"/>
                <w:szCs w:val="15"/>
                <w:lang w:val="en-US" w:eastAsia="zh-CN"/>
              </w:rPr>
              <w:t>2.</w:t>
            </w:r>
            <w:r>
              <w:rPr>
                <w:rFonts w:hint="eastAsia" w:ascii="宋体" w:hAnsi="宋体" w:eastAsia="宋体" w:cs="宋体"/>
                <w:sz w:val="15"/>
                <w:szCs w:val="15"/>
              </w:rPr>
              <w:t xml:space="preserve">烟室系统进行优化改造：分解炉烟室缩口由方形有效内径1600mmx1600mm改造为圆形缩口有效内径扩径1900mm，同时对窑尾月亮门到斜坡的距离进行扩径2000mm，斜坡角度由原有的50度角微调到45度； </w:t>
            </w:r>
            <w:r>
              <w:rPr>
                <w:rFonts w:hint="eastAsia" w:ascii="宋体" w:hAnsi="宋体" w:eastAsia="宋体" w:cs="宋体"/>
                <w:sz w:val="15"/>
                <w:szCs w:val="15"/>
                <w:lang w:val="en-US" w:eastAsia="zh-CN"/>
              </w:rPr>
              <w:t>3.</w:t>
            </w:r>
            <w:r>
              <w:rPr>
                <w:rFonts w:hint="eastAsia" w:ascii="宋体" w:hAnsi="宋体" w:eastAsia="宋体" w:cs="宋体"/>
                <w:sz w:val="15"/>
                <w:szCs w:val="15"/>
              </w:rPr>
              <w:t>旋风筒蜗壳进口优化改造：采用旋风筒进风口向外或向上扩径的方式；</w:t>
            </w:r>
            <w:r>
              <w:rPr>
                <w:rFonts w:hint="eastAsia" w:ascii="宋体" w:hAnsi="宋体" w:eastAsia="宋体" w:cs="宋体"/>
                <w:sz w:val="15"/>
                <w:szCs w:val="15"/>
                <w:lang w:val="en-US" w:eastAsia="zh-CN"/>
              </w:rPr>
              <w:t>4.</w:t>
            </w:r>
            <w:r>
              <w:rPr>
                <w:rFonts w:hint="eastAsia" w:ascii="宋体" w:hAnsi="宋体" w:eastAsia="宋体" w:cs="宋体"/>
                <w:sz w:val="15"/>
                <w:szCs w:val="15"/>
              </w:rPr>
              <w:t>预热器翻板阀及下料管系统优化</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2022年4月</w:t>
            </w:r>
          </w:p>
        </w:tc>
        <w:tc>
          <w:tcPr>
            <w:tcW w:w="1729"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895"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升级改造</w:t>
            </w:r>
            <w:r>
              <w:rPr>
                <w:rFonts w:hint="eastAsia" w:ascii="宋体" w:hAnsi="宋体" w:eastAsia="宋体" w:cs="宋体"/>
                <w:sz w:val="15"/>
                <w:szCs w:val="15"/>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节能电机改造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40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计划</w:t>
            </w:r>
            <w:r>
              <w:rPr>
                <w:rFonts w:hint="eastAsia" w:ascii="宋体" w:hAnsi="宋体" w:eastAsia="宋体" w:cs="宋体"/>
                <w:sz w:val="15"/>
                <w:szCs w:val="15"/>
                <w:lang w:eastAsia="zh-CN"/>
              </w:rPr>
              <w:t>将</w:t>
            </w:r>
            <w:r>
              <w:rPr>
                <w:rFonts w:hint="eastAsia" w:ascii="宋体" w:hAnsi="宋体" w:eastAsia="宋体" w:cs="宋体"/>
                <w:sz w:val="15"/>
                <w:szCs w:val="15"/>
              </w:rPr>
              <w:t>15kw以上使用率较高的电机更新为YE4系列高效节能电机。其中：矿山5台、熟料15台、水泥21台。</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2023年3月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可比熟料综合能耗100</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水泥窑篦冷机节能技术改造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1590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1</w:t>
            </w:r>
            <w:r>
              <w:rPr>
                <w:rFonts w:hint="eastAsia" w:ascii="宋体" w:hAnsi="宋体" w:eastAsia="宋体" w:cs="宋体"/>
                <w:sz w:val="15"/>
                <w:szCs w:val="15"/>
                <w:lang w:val="en-US" w:eastAsia="zh-CN"/>
              </w:rPr>
              <w:t>.</w:t>
            </w:r>
            <w:r>
              <w:rPr>
                <w:rFonts w:hint="eastAsia" w:ascii="宋体" w:hAnsi="宋体" w:eastAsia="宋体" w:cs="宋体"/>
                <w:sz w:val="15"/>
                <w:szCs w:val="15"/>
              </w:rPr>
              <w:t>拆除原有冷却效率低、热回收率低的篦冷机整体，改造为高能效篦冷机。2</w:t>
            </w:r>
            <w:r>
              <w:rPr>
                <w:rFonts w:hint="eastAsia" w:ascii="宋体" w:hAnsi="宋体" w:eastAsia="宋体" w:cs="宋体"/>
                <w:sz w:val="15"/>
                <w:szCs w:val="15"/>
                <w:lang w:val="en-US" w:eastAsia="zh-CN"/>
              </w:rPr>
              <w:t>.</w:t>
            </w:r>
            <w:r>
              <w:rPr>
                <w:rFonts w:hint="eastAsia" w:ascii="宋体" w:hAnsi="宋体" w:eastAsia="宋体" w:cs="宋体"/>
                <w:sz w:val="15"/>
                <w:szCs w:val="15"/>
              </w:rPr>
              <w:t>拆除原有高能耗风机和电机，改造为节能风机和一级能效永磁电机</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2023年3月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煤磨驱动系统节能改造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104</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1</w:t>
            </w:r>
            <w:r>
              <w:rPr>
                <w:rFonts w:hint="eastAsia" w:ascii="宋体" w:hAnsi="宋体" w:eastAsia="宋体" w:cs="宋体"/>
                <w:sz w:val="15"/>
                <w:szCs w:val="15"/>
                <w:lang w:val="en-US" w:eastAsia="zh-CN"/>
              </w:rPr>
              <w:t>.</w:t>
            </w:r>
            <w:r>
              <w:rPr>
                <w:rFonts w:hint="eastAsia" w:ascii="宋体" w:hAnsi="宋体" w:eastAsia="宋体" w:cs="宋体"/>
                <w:sz w:val="15"/>
                <w:szCs w:val="15"/>
              </w:rPr>
              <w:t>拆除原高压电机、主减速机、辅传及慢驱减速机、稀油站及油管、启动柜等设备。2</w:t>
            </w:r>
            <w:r>
              <w:rPr>
                <w:rFonts w:hint="eastAsia" w:ascii="宋体" w:hAnsi="宋体" w:eastAsia="宋体" w:cs="宋体"/>
                <w:sz w:val="15"/>
                <w:szCs w:val="15"/>
                <w:lang w:val="en-US" w:eastAsia="zh-CN"/>
              </w:rPr>
              <w:t>.</w:t>
            </w:r>
            <w:r>
              <w:rPr>
                <w:rFonts w:hint="eastAsia" w:ascii="宋体" w:hAnsi="宋体" w:eastAsia="宋体" w:cs="宋体"/>
                <w:sz w:val="15"/>
                <w:szCs w:val="15"/>
              </w:rPr>
              <w:t>安装永磁电机（防爆）和原有小齿轮对接，安装高压变频器等。</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2023年3月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4</w:t>
            </w:r>
          </w:p>
        </w:tc>
        <w:tc>
          <w:tcPr>
            <w:tcW w:w="958" w:type="dxa"/>
            <w:vMerge w:val="restart"/>
            <w:vAlign w:val="center"/>
          </w:tcPr>
          <w:p>
            <w:pPr>
              <w:widowControl/>
              <w:spacing w:line="240" w:lineRule="exact"/>
              <w:jc w:val="center"/>
              <w:textAlignment w:val="center"/>
              <w:rPr>
                <w:rFonts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水泥</w:t>
            </w:r>
          </w:p>
        </w:tc>
        <w:tc>
          <w:tcPr>
            <w:tcW w:w="1223" w:type="dxa"/>
            <w:vAlign w:val="center"/>
          </w:tcPr>
          <w:p>
            <w:pPr>
              <w:widowControl/>
              <w:spacing w:line="2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民和祁连山水泥有限公司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rPr>
            </w:pPr>
            <w:r>
              <w:rPr>
                <w:rFonts w:hint="eastAsia" w:ascii="宋体" w:hAnsi="宋体" w:eastAsia="宋体" w:cs="宋体"/>
                <w:sz w:val="15"/>
                <w:szCs w:val="15"/>
                <w:lang w:eastAsia="zh-CN"/>
              </w:rPr>
              <w:t>青海省</w:t>
            </w:r>
            <w:r>
              <w:rPr>
                <w:rFonts w:hint="eastAsia" w:ascii="宋体" w:hAnsi="宋体" w:eastAsia="宋体" w:cs="宋体"/>
                <w:sz w:val="15"/>
                <w:szCs w:val="15"/>
              </w:rPr>
              <w:t>海东市</w:t>
            </w:r>
            <w:r>
              <w:rPr>
                <w:rFonts w:hint="eastAsia" w:ascii="宋体" w:hAnsi="宋体" w:eastAsia="宋体" w:cs="宋体"/>
                <w:sz w:val="15"/>
                <w:szCs w:val="15"/>
                <w:lang w:eastAsia="zh-CN"/>
              </w:rPr>
              <w:t>民和县</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1-4#水泥库底卸料空气悬浮风机改造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29</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将原1-4#水泥库底卸料四台罗茨风机全部拆除，安装两台空气悬浮风机，风机管道进行并联敷设安装。</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2023年3月</w:t>
            </w:r>
          </w:p>
        </w:tc>
        <w:tc>
          <w:tcPr>
            <w:tcW w:w="172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107.92</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（基准水平）</w:t>
            </w: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可比熟料综合能耗100</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）（标杆水平）</w:t>
            </w:r>
          </w:p>
        </w:tc>
        <w:tc>
          <w:tcPr>
            <w:tcW w:w="726"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5</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青海互助金圆水泥有限公司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eastAsia="zh-CN"/>
              </w:rPr>
              <w:t>青海省</w:t>
            </w:r>
            <w:r>
              <w:rPr>
                <w:rFonts w:hint="eastAsia" w:ascii="宋体" w:hAnsi="宋体" w:eastAsia="宋体" w:cs="宋体"/>
                <w:sz w:val="15"/>
                <w:szCs w:val="15"/>
              </w:rPr>
              <w:t>海东</w:t>
            </w:r>
            <w:r>
              <w:rPr>
                <w:rFonts w:hint="eastAsia" w:ascii="宋体" w:hAnsi="宋体" w:eastAsia="宋体" w:cs="宋体"/>
                <w:sz w:val="15"/>
                <w:szCs w:val="15"/>
                <w:lang w:eastAsia="zh-CN"/>
              </w:rPr>
              <w:t>市互助县</w:t>
            </w: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使用替代燃料</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利用替代燃料降低煤耗</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2023年开始使用</w:t>
            </w:r>
          </w:p>
        </w:tc>
        <w:tc>
          <w:tcPr>
            <w:tcW w:w="1729"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92.53</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91.41</w:t>
            </w:r>
            <w:r>
              <w:rPr>
                <w:rFonts w:hint="eastAsia" w:ascii="宋体" w:hAnsi="宋体" w:eastAsia="宋体" w:cs="宋体"/>
                <w:sz w:val="15"/>
                <w:szCs w:val="15"/>
              </w:rPr>
              <w:t xml:space="preserve"> </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p>
        </w:tc>
        <w:tc>
          <w:tcPr>
            <w:tcW w:w="726"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使用替代燃料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一线超低排放技改</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2880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超低排放技改结合节能技改</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2024年3月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89.01</w:t>
            </w:r>
            <w:r>
              <w:rPr>
                <w:rFonts w:hint="eastAsia" w:ascii="宋体" w:hAnsi="宋体" w:eastAsia="宋体" w:cs="宋体"/>
                <w:sz w:val="15"/>
                <w:szCs w:val="15"/>
              </w:rPr>
              <w:t xml:space="preserve"> </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p>
        </w:tc>
        <w:tc>
          <w:tcPr>
            <w:tcW w:w="726"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二线超低排放技改</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3300</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超低排放技改结合节能技改</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2024年11月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2025年3月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widowControl/>
              <w:textAlignment w:val="center"/>
              <w:rPr>
                <w:rFonts w:hint="eastAsia" w:ascii="宋体" w:hAnsi="宋体" w:eastAsia="宋体" w:cs="宋体"/>
                <w:color w:val="FF0000"/>
                <w:kern w:val="2"/>
                <w:sz w:val="15"/>
                <w:szCs w:val="15"/>
                <w:lang w:val="en-US" w:eastAsia="zh-CN" w:bidi="ar-SA"/>
              </w:rPr>
            </w:pPr>
          </w:p>
        </w:tc>
        <w:tc>
          <w:tcPr>
            <w:tcW w:w="726"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升级</w:t>
            </w:r>
          </w:p>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罗茨风机（共3台）改磁悬浮风机</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90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罗茨风机改磁悬浮风机</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2024年3月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节电率20%</w:t>
            </w:r>
          </w:p>
        </w:tc>
        <w:tc>
          <w:tcPr>
            <w:tcW w:w="726"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节煤剂使用</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使用节煤添加剂，降低煤耗</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2025年</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 xml:space="preserve">86.61 </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使用节煤添加剂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6</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青海宏扬水泥有限公司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青海省</w:t>
            </w:r>
            <w:r>
              <w:rPr>
                <w:rFonts w:hint="eastAsia" w:ascii="宋体" w:hAnsi="宋体" w:eastAsia="宋体" w:cs="宋体"/>
                <w:sz w:val="15"/>
                <w:szCs w:val="15"/>
              </w:rPr>
              <w:t>海西州</w:t>
            </w:r>
            <w:r>
              <w:rPr>
                <w:rFonts w:hint="eastAsia" w:ascii="宋体" w:hAnsi="宋体" w:eastAsia="宋体" w:cs="宋体"/>
                <w:sz w:val="15"/>
                <w:szCs w:val="15"/>
                <w:lang w:eastAsia="zh-CN"/>
              </w:rPr>
              <w:t>格尔木市</w:t>
            </w:r>
          </w:p>
          <w:p>
            <w:pPr>
              <w:widowControl/>
              <w:spacing w:line="240" w:lineRule="exact"/>
              <w:jc w:val="center"/>
              <w:textAlignment w:val="center"/>
              <w:rPr>
                <w:rFonts w:hint="eastAsia" w:ascii="宋体" w:hAnsi="宋体" w:eastAsia="宋体" w:cs="宋体"/>
                <w:sz w:val="15"/>
                <w:szCs w:val="15"/>
                <w:lang w:val="en-US" w:eastAsia="zh-CN"/>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预热器节能技术改造项目</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430万</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旋风筒入口改造，C4下料管改造，三次风管出口改造，分解炉喷煤点改造</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w:t>
            </w:r>
            <w:r>
              <w:rPr>
                <w:rFonts w:hint="eastAsia" w:ascii="宋体" w:hAnsi="宋体" w:eastAsia="宋体" w:cs="宋体"/>
                <w:sz w:val="15"/>
                <w:szCs w:val="15"/>
                <w:lang w:val="en-US" w:eastAsia="zh-CN"/>
              </w:rPr>
              <w:t>4</w:t>
            </w:r>
            <w:r>
              <w:rPr>
                <w:rFonts w:hint="eastAsia" w:ascii="宋体" w:hAnsi="宋体" w:eastAsia="宋体" w:cs="宋体"/>
                <w:sz w:val="15"/>
                <w:szCs w:val="15"/>
              </w:rPr>
              <w:t>月</w:t>
            </w:r>
          </w:p>
        </w:tc>
        <w:tc>
          <w:tcPr>
            <w:tcW w:w="1729"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97.05</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92.27</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r>
              <w:rPr>
                <w:rFonts w:hint="eastAsia" w:ascii="宋体" w:hAnsi="宋体" w:eastAsia="宋体" w:cs="宋体"/>
                <w:sz w:val="15"/>
                <w:szCs w:val="15"/>
              </w:rPr>
              <w:t xml:space="preserve"> </w:t>
            </w:r>
          </w:p>
        </w:tc>
        <w:tc>
          <w:tcPr>
            <w:tcW w:w="726"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宋体"/>
                <w:sz w:val="15"/>
                <w:szCs w:val="15"/>
              </w:rPr>
            </w:pPr>
          </w:p>
        </w:tc>
        <w:tc>
          <w:tcPr>
            <w:tcW w:w="888" w:type="dxa"/>
            <w:vMerge w:val="continue"/>
          </w:tcPr>
          <w:p>
            <w:pPr>
              <w:widowControl/>
              <w:spacing w:line="240" w:lineRule="exact"/>
              <w:jc w:val="left"/>
              <w:textAlignment w:val="center"/>
              <w:rPr>
                <w:rFonts w:hint="eastAsia" w:ascii="宋体" w:hAnsi="宋体" w:eastAsia="宋体" w:cs="宋体"/>
                <w:sz w:val="15"/>
                <w:szCs w:val="15"/>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预热器节能技术改造项目</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800万</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分解炉扩容改造、烟室改造</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2024年2月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2024年4月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90.64</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p>
        </w:tc>
        <w:tc>
          <w:tcPr>
            <w:tcW w:w="726"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7</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青海省新型建材工贸有限责任公司</w:t>
            </w:r>
          </w:p>
        </w:tc>
        <w:tc>
          <w:tcPr>
            <w:tcW w:w="888"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青海省西宁市大通县</w:t>
            </w: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2000t/d水泥熟料生产线节能技术改造项目</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10000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节能降碳技术改造（生产工艺、高效节能设备、超洁净排放、燃料替代等领域）。</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2025年12月</w:t>
            </w:r>
          </w:p>
        </w:tc>
        <w:tc>
          <w:tcPr>
            <w:tcW w:w="172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103.62</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（基准水平）</w:t>
            </w: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可比熟料综合能耗85-90</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rPr>
              <w:t>之间</w:t>
            </w:r>
            <w:r>
              <w:rPr>
                <w:rFonts w:hint="eastAsia" w:ascii="宋体" w:hAnsi="宋体" w:eastAsia="宋体" w:cs="宋体"/>
                <w:sz w:val="15"/>
                <w:szCs w:val="15"/>
                <w:lang w:val="en-US" w:eastAsia="zh-CN"/>
              </w:rPr>
              <w:t>（标杆水平）</w:t>
            </w:r>
          </w:p>
        </w:tc>
        <w:tc>
          <w:tcPr>
            <w:tcW w:w="726" w:type="dxa"/>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升级</w:t>
            </w:r>
          </w:p>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lang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8</w:t>
            </w:r>
          </w:p>
        </w:tc>
        <w:tc>
          <w:tcPr>
            <w:tcW w:w="958" w:type="dxa"/>
            <w:vMerge w:val="continue"/>
            <w:vAlign w:val="center"/>
          </w:tcPr>
          <w:p>
            <w:pPr>
              <w:widowControl/>
              <w:spacing w:line="240" w:lineRule="exact"/>
              <w:jc w:val="center"/>
              <w:textAlignment w:val="center"/>
              <w:rPr>
                <w:rFonts w:ascii="宋体" w:hAnsi="宋体" w:eastAsia="宋体" w:cs="宋体"/>
                <w:kern w:val="2"/>
                <w:sz w:val="15"/>
                <w:szCs w:val="15"/>
                <w:lang w:val="en-US" w:eastAsia="zh-CN" w:bidi="ar-SA"/>
              </w:rPr>
            </w:pPr>
          </w:p>
        </w:tc>
        <w:tc>
          <w:tcPr>
            <w:tcW w:w="1223"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共和县祁连山金河水泥有限责任公司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青海省海南州共和县</w:t>
            </w: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罗茨风机改造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52.00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更换为空气悬浮鼓风机。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2022年8月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2023年4月</w:t>
            </w:r>
          </w:p>
        </w:tc>
        <w:tc>
          <w:tcPr>
            <w:tcW w:w="1729"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96.23</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p>
        </w:tc>
        <w:tc>
          <w:tcPr>
            <w:tcW w:w="1895"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95</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）（基准水平）</w:t>
            </w:r>
          </w:p>
        </w:tc>
        <w:tc>
          <w:tcPr>
            <w:tcW w:w="726"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电机改造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110.00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更换为高效节能电机。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2023年12月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726" w:type="dxa"/>
            <w:vMerge w:val="continue"/>
            <w:vAlign w:val="center"/>
          </w:tcPr>
          <w:p>
            <w:pPr>
              <w:widowControl/>
              <w:spacing w:line="240" w:lineRule="exact"/>
              <w:jc w:val="center"/>
              <w:textAlignment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风机改造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168.00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更换为高效节能风机。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2023年10月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726" w:type="dxa"/>
            <w:vMerge w:val="continue"/>
            <w:vAlign w:val="center"/>
          </w:tcPr>
          <w:p>
            <w:pPr>
              <w:widowControl/>
              <w:spacing w:line="240" w:lineRule="exact"/>
              <w:jc w:val="center"/>
              <w:textAlignment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空压机改造</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15.00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空压机变频改造。</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2023年4月</w:t>
            </w:r>
          </w:p>
        </w:tc>
        <w:tc>
          <w:tcPr>
            <w:tcW w:w="1729" w:type="dxa"/>
            <w:vMerge w:val="continue"/>
            <w:vAlign w:val="center"/>
          </w:tcPr>
          <w:p>
            <w:pPr>
              <w:widowControl/>
              <w:spacing w:line="240" w:lineRule="exact"/>
              <w:jc w:val="left"/>
              <w:textAlignment w:val="center"/>
              <w:rPr>
                <w:rFonts w:hint="eastAsia" w:ascii="宋体" w:hAnsi="宋体" w:eastAsia="宋体" w:cs="宋体"/>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726" w:type="dxa"/>
            <w:vMerge w:val="continue"/>
            <w:vAlign w:val="center"/>
          </w:tcPr>
          <w:p>
            <w:pPr>
              <w:widowControl/>
              <w:spacing w:line="240" w:lineRule="exact"/>
              <w:jc w:val="center"/>
              <w:textAlignment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9</w:t>
            </w:r>
          </w:p>
        </w:tc>
        <w:tc>
          <w:tcPr>
            <w:tcW w:w="958" w:type="dxa"/>
            <w:vMerge w:val="restart"/>
            <w:vAlign w:val="center"/>
          </w:tcPr>
          <w:p>
            <w:pPr>
              <w:widowControl/>
              <w:spacing w:line="240" w:lineRule="exact"/>
              <w:jc w:val="center"/>
              <w:textAlignment w:val="center"/>
              <w:rPr>
                <w:rFonts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水泥</w:t>
            </w:r>
          </w:p>
        </w:tc>
        <w:tc>
          <w:tcPr>
            <w:tcW w:w="1223" w:type="dxa"/>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青海乐都华夏水泥有限公司</w:t>
            </w:r>
          </w:p>
        </w:tc>
        <w:tc>
          <w:tcPr>
            <w:tcW w:w="888"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青海省海东市乐都区</w:t>
            </w:r>
          </w:p>
        </w:tc>
        <w:tc>
          <w:tcPr>
            <w:tcW w:w="1179"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资源综合利用节能技术改造项目</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520</w:t>
            </w:r>
          </w:p>
        </w:tc>
        <w:tc>
          <w:tcPr>
            <w:tcW w:w="640"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利用煤矸石、烟尘灰等废弃材料配料，采用海石湾炼油废弃油页岩渣代替部分粘土，油页岩渣中含有发热量约1000卡，代替了部分粘土的同时，生料配热中还提供了近30卡热值。利用榆中钢厂废弃的烟尘灰代替铁质原料钢渣，其中烟尘灰中含有发热量1500卡左右，生料配料中提供40卡左右热值，利用两种废弃原料生料配热节约70卡。</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2023年3月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2023年11月</w:t>
            </w:r>
          </w:p>
        </w:tc>
        <w:tc>
          <w:tcPr>
            <w:tcW w:w="172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可比熟料综合能耗</w:t>
            </w:r>
            <w:r>
              <w:rPr>
                <w:rFonts w:hint="eastAsia" w:ascii="宋体" w:hAnsi="宋体" w:eastAsia="宋体" w:cs="宋体"/>
                <w:sz w:val="15"/>
                <w:szCs w:val="15"/>
                <w:lang w:val="en-US" w:eastAsia="zh-CN"/>
              </w:rPr>
              <w:t>93.67</w:t>
            </w:r>
            <w:r>
              <w:rPr>
                <w:rFonts w:hint="eastAsia" w:ascii="宋体" w:hAnsi="宋体" w:eastAsia="宋体" w:cs="宋体"/>
                <w:sz w:val="15"/>
                <w:szCs w:val="15"/>
                <w:lang w:eastAsia="zh-CN"/>
              </w:rPr>
              <w:t>（</w:t>
            </w:r>
            <w:r>
              <w:rPr>
                <w:rFonts w:hint="eastAsia" w:ascii="宋体" w:hAnsi="宋体" w:eastAsia="宋体" w:cs="宋体"/>
                <w:sz w:val="15"/>
                <w:szCs w:val="15"/>
              </w:rPr>
              <w:t>kgce/t</w:t>
            </w: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（标杆水平）</w:t>
            </w: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可比熟料综合能耗92kgce/t（标杆水平）</w:t>
            </w:r>
          </w:p>
        </w:tc>
        <w:tc>
          <w:tcPr>
            <w:tcW w:w="726" w:type="dxa"/>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升级</w:t>
            </w:r>
          </w:p>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10</w:t>
            </w: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青海江河源水泥有限责任公司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青海省西宁市湟源县</w:t>
            </w:r>
          </w:p>
        </w:tc>
        <w:tc>
          <w:tcPr>
            <w:tcW w:w="1179" w:type="dxa"/>
            <w:vAlign w:val="center"/>
          </w:tcPr>
          <w:p>
            <w:pPr>
              <w:widowControl/>
              <w:spacing w:line="24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vAlign w:val="center"/>
          </w:tcPr>
          <w:p>
            <w:pPr>
              <w:widowControl/>
              <w:spacing w:line="24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Merge w:val="restart"/>
            <w:vAlign w:val="center"/>
          </w:tcPr>
          <w:p>
            <w:pPr>
              <w:widowControl/>
              <w:spacing w:line="24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Merge w:val="restart"/>
            <w:vAlign w:val="center"/>
          </w:tcPr>
          <w:p>
            <w:pPr>
              <w:widowControl/>
              <w:spacing w:line="24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Merge w:val="restart"/>
            <w:vAlign w:val="center"/>
          </w:tcPr>
          <w:p>
            <w:pPr>
              <w:widowControl/>
              <w:spacing w:line="24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color w:val="auto"/>
                <w:sz w:val="15"/>
                <w:szCs w:val="15"/>
                <w:lang w:val="en-US" w:eastAsia="zh-CN"/>
              </w:rPr>
              <w:t>不对外公示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1179" w:type="dxa"/>
            <w:vAlign w:val="center"/>
          </w:tcPr>
          <w:p>
            <w:pPr>
              <w:widowControl/>
              <w:spacing w:line="2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vAlign w:val="center"/>
          </w:tcPr>
          <w:p>
            <w:pPr>
              <w:widowControl/>
              <w:spacing w:line="2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Merge w:val="continue"/>
            <w:vAlign w:val="center"/>
          </w:tcPr>
          <w:p>
            <w:pPr>
              <w:widowControl/>
              <w:spacing w:line="240" w:lineRule="exact"/>
              <w:jc w:val="left"/>
              <w:textAlignment w:val="center"/>
              <w:rPr>
                <w:rFonts w:hint="eastAsia" w:ascii="宋体" w:hAnsi="宋体" w:eastAsia="宋体" w:cs="宋体"/>
                <w:color w:val="FF0000"/>
                <w:sz w:val="15"/>
                <w:szCs w:val="15"/>
                <w:lang w:val="en-US" w:eastAsia="zh-CN"/>
              </w:rPr>
            </w:pPr>
          </w:p>
        </w:tc>
        <w:tc>
          <w:tcPr>
            <w:tcW w:w="1895" w:type="dxa"/>
            <w:vMerge w:val="continue"/>
            <w:vAlign w:val="center"/>
          </w:tcPr>
          <w:p>
            <w:pPr>
              <w:widowControl/>
              <w:spacing w:line="240" w:lineRule="exact"/>
              <w:jc w:val="left"/>
              <w:textAlignment w:val="center"/>
              <w:rPr>
                <w:rFonts w:hint="eastAsia" w:ascii="宋体" w:hAnsi="宋体" w:eastAsia="宋体" w:cs="宋体"/>
                <w:color w:val="FF0000"/>
                <w:sz w:val="15"/>
                <w:szCs w:val="15"/>
                <w:lang w:val="en-US" w:eastAsia="zh-CN"/>
              </w:rPr>
            </w:pPr>
          </w:p>
        </w:tc>
        <w:tc>
          <w:tcPr>
            <w:tcW w:w="72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 w:eastAsia="zh-CN" w:bidi="ar-SA"/>
              </w:rPr>
            </w:pPr>
            <w:r>
              <w:rPr>
                <w:rFonts w:hint="default" w:ascii="宋体" w:hAnsi="宋体" w:eastAsia="宋体" w:cs="宋体"/>
                <w:kern w:val="0"/>
                <w:sz w:val="15"/>
                <w:szCs w:val="15"/>
                <w:lang w:val="en" w:eastAsia="zh-CN" w:bidi="ar-SA"/>
              </w:rPr>
              <w:t>11</w:t>
            </w: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青海泰宁水泥有限公司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青海省海东市乐都区</w:t>
            </w:r>
          </w:p>
        </w:tc>
        <w:tc>
          <w:tcPr>
            <w:tcW w:w="117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0"/>
                <w:sz w:val="15"/>
                <w:szCs w:val="15"/>
                <w:lang w:val="en" w:eastAsia="zh-CN" w:bidi="ar-SA"/>
              </w:rPr>
            </w:pPr>
            <w:r>
              <w:rPr>
                <w:rFonts w:hint="eastAsia" w:ascii="宋体" w:hAnsi="宋体" w:eastAsia="宋体" w:cs="Arial"/>
                <w:kern w:val="0"/>
                <w:sz w:val="15"/>
                <w:szCs w:val="15"/>
                <w:lang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 w:eastAsia="zh-CN" w:bidi="ar-SA"/>
              </w:rPr>
            </w:pPr>
            <w:r>
              <w:rPr>
                <w:rFonts w:hint="default" w:ascii="宋体" w:hAnsi="宋体" w:eastAsia="宋体" w:cs="宋体"/>
                <w:kern w:val="0"/>
                <w:sz w:val="15"/>
                <w:szCs w:val="15"/>
                <w:lang w:val="en" w:eastAsia="zh-CN" w:bidi="ar-SA"/>
              </w:rPr>
              <w:t>12</w:t>
            </w: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青海水泥股份有限公司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青海省西宁市大通县</w:t>
            </w:r>
          </w:p>
        </w:tc>
        <w:tc>
          <w:tcPr>
            <w:tcW w:w="117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0"/>
                <w:sz w:val="15"/>
                <w:szCs w:val="15"/>
                <w:lang w:val="en" w:eastAsia="zh-CN" w:bidi="ar-SA"/>
              </w:rPr>
            </w:pPr>
            <w:r>
              <w:rPr>
                <w:rFonts w:hint="eastAsia" w:ascii="宋体" w:hAnsi="宋体" w:eastAsia="宋体" w:cs="Arial"/>
                <w:kern w:val="0"/>
                <w:sz w:val="15"/>
                <w:szCs w:val="15"/>
                <w:lang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 w:eastAsia="zh-CN" w:bidi="ar-SA"/>
              </w:rPr>
            </w:pPr>
            <w:r>
              <w:rPr>
                <w:rFonts w:hint="default" w:ascii="宋体" w:hAnsi="宋体" w:eastAsia="宋体" w:cs="宋体"/>
                <w:kern w:val="0"/>
                <w:sz w:val="15"/>
                <w:szCs w:val="15"/>
                <w:lang w:val="en" w:eastAsia="zh-CN" w:bidi="ar-SA"/>
              </w:rPr>
              <w:t>13</w:t>
            </w: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青海海西化工建材股份有限公司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青海省海西州德令哈市</w:t>
            </w:r>
          </w:p>
        </w:tc>
        <w:tc>
          <w:tcPr>
            <w:tcW w:w="1179"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0"/>
                <w:sz w:val="15"/>
                <w:szCs w:val="15"/>
                <w:lang w:val="en" w:eastAsia="zh-CN" w:bidi="ar-SA"/>
              </w:rPr>
            </w:pPr>
            <w:r>
              <w:rPr>
                <w:rFonts w:hint="eastAsia" w:ascii="宋体" w:hAnsi="宋体" w:eastAsia="宋体" w:cs="Arial"/>
                <w:kern w:val="0"/>
                <w:sz w:val="15"/>
                <w:szCs w:val="15"/>
                <w:lang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14</w:t>
            </w: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sz w:val="15"/>
                <w:szCs w:val="15"/>
                <w:lang w:val="en-US" w:eastAsia="zh-CN"/>
              </w:rPr>
              <w:t>青海金鼎水泥有限公司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青海省海东市乐都区</w:t>
            </w:r>
          </w:p>
        </w:tc>
        <w:tc>
          <w:tcPr>
            <w:tcW w:w="1179"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Arial"/>
                <w:kern w:val="0"/>
                <w:sz w:val="15"/>
                <w:szCs w:val="15"/>
                <w:lang w:val="en-US" w:eastAsia="zh-CN"/>
              </w:rPr>
            </w:pPr>
            <w:r>
              <w:rPr>
                <w:rFonts w:hint="eastAsia" w:ascii="宋体" w:hAnsi="宋体" w:eastAsia="宋体" w:cs="Arial"/>
                <w:kern w:val="0"/>
                <w:sz w:val="15"/>
                <w:szCs w:val="15"/>
                <w:lang w:val="en-US" w:eastAsia="zh-CN"/>
              </w:rPr>
              <w:t>停产</w:t>
            </w:r>
          </w:p>
        </w:tc>
      </w:tr>
    </w:tbl>
    <w:p>
      <w:pPr>
        <w:rPr>
          <w:rFonts w:hint="default"/>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汉仪大黑简">
    <w:altName w:val="方正黑体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629123608"/>
      <w:docPartObj>
        <w:docPartGallery w:val="autotext"/>
      </w:docPartObj>
    </w:sdtPr>
    <w:sdtEndPr>
      <w:rPr>
        <w:rFonts w:asciiTheme="majorEastAsia" w:hAnsiTheme="majorEastAsia" w:eastAsiaTheme="majorEastAsia"/>
        <w:sz w:val="28"/>
        <w:szCs w:val="28"/>
      </w:rPr>
    </w:sdtEndPr>
    <w:sdtContent>
      <w:p>
        <w:pPr>
          <w:pStyle w:val="6"/>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F92E2"/>
    <w:multiLevelType w:val="singleLevel"/>
    <w:tmpl w:val="F7FF92E2"/>
    <w:lvl w:ilvl="0" w:tentative="0">
      <w:start w:val="1"/>
      <w:numFmt w:val="chineseCounting"/>
      <w:suff w:val="nothing"/>
      <w:lvlText w:val="（%1）"/>
      <w:lvlJc w:val="left"/>
      <w:rPr>
        <w:rFonts w:hint="eastAsia"/>
      </w:rPr>
    </w:lvl>
  </w:abstractNum>
  <w:abstractNum w:abstractNumId="1">
    <w:nsid w:val="F90E2079"/>
    <w:multiLevelType w:val="singleLevel"/>
    <w:tmpl w:val="F90E207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N2VhYWVjNjMwNDhlY2JjZTljYmUzYjgzZTBlYzgifQ=="/>
  </w:docVars>
  <w:rsids>
    <w:rsidRoot w:val="007751F1"/>
    <w:rsid w:val="0036334D"/>
    <w:rsid w:val="003C5AD6"/>
    <w:rsid w:val="003C71AB"/>
    <w:rsid w:val="00471AE7"/>
    <w:rsid w:val="00681678"/>
    <w:rsid w:val="006F7E57"/>
    <w:rsid w:val="007751F1"/>
    <w:rsid w:val="00890CF3"/>
    <w:rsid w:val="008B0A82"/>
    <w:rsid w:val="00A07EA1"/>
    <w:rsid w:val="00B32BBD"/>
    <w:rsid w:val="00BA765F"/>
    <w:rsid w:val="00C42CC7"/>
    <w:rsid w:val="00C956AE"/>
    <w:rsid w:val="00CF6094"/>
    <w:rsid w:val="00E54EC7"/>
    <w:rsid w:val="00EB094F"/>
    <w:rsid w:val="00ED4F7C"/>
    <w:rsid w:val="015012F5"/>
    <w:rsid w:val="01FF6D7B"/>
    <w:rsid w:val="0A8A06EA"/>
    <w:rsid w:val="0BA15381"/>
    <w:rsid w:val="116113D0"/>
    <w:rsid w:val="1249556D"/>
    <w:rsid w:val="1250568D"/>
    <w:rsid w:val="12A10AE9"/>
    <w:rsid w:val="13D7B602"/>
    <w:rsid w:val="13FD67D7"/>
    <w:rsid w:val="14896672"/>
    <w:rsid w:val="1514752E"/>
    <w:rsid w:val="155D764A"/>
    <w:rsid w:val="195CFAF4"/>
    <w:rsid w:val="1BFFC6CF"/>
    <w:rsid w:val="1DE626E7"/>
    <w:rsid w:val="1DF06450"/>
    <w:rsid w:val="1DFF035E"/>
    <w:rsid w:val="1E773C29"/>
    <w:rsid w:val="1F35A2BA"/>
    <w:rsid w:val="1FB7E7EB"/>
    <w:rsid w:val="1FBC8249"/>
    <w:rsid w:val="1FFFA526"/>
    <w:rsid w:val="21E5CC2D"/>
    <w:rsid w:val="22AFAAA8"/>
    <w:rsid w:val="27982240"/>
    <w:rsid w:val="27A40BE5"/>
    <w:rsid w:val="27E500BA"/>
    <w:rsid w:val="2B2A4746"/>
    <w:rsid w:val="2E041165"/>
    <w:rsid w:val="2EDF5D7C"/>
    <w:rsid w:val="2FFBB175"/>
    <w:rsid w:val="31FF1D6C"/>
    <w:rsid w:val="333B072A"/>
    <w:rsid w:val="34FF3918"/>
    <w:rsid w:val="35652224"/>
    <w:rsid w:val="3620434A"/>
    <w:rsid w:val="36BFFA32"/>
    <w:rsid w:val="373AF729"/>
    <w:rsid w:val="3AC97FC5"/>
    <w:rsid w:val="3BBD301E"/>
    <w:rsid w:val="3BD6B50A"/>
    <w:rsid w:val="3D0F4A24"/>
    <w:rsid w:val="3D7F7188"/>
    <w:rsid w:val="3DF6C3E7"/>
    <w:rsid w:val="3E563FE3"/>
    <w:rsid w:val="3EEDEADD"/>
    <w:rsid w:val="3F7FBB27"/>
    <w:rsid w:val="3FF97830"/>
    <w:rsid w:val="3FFBCDB9"/>
    <w:rsid w:val="42B073CA"/>
    <w:rsid w:val="4529115C"/>
    <w:rsid w:val="45912351"/>
    <w:rsid w:val="45FEA809"/>
    <w:rsid w:val="46296590"/>
    <w:rsid w:val="46E10CA3"/>
    <w:rsid w:val="46FB6F55"/>
    <w:rsid w:val="477B3A94"/>
    <w:rsid w:val="48928D13"/>
    <w:rsid w:val="49E14F7D"/>
    <w:rsid w:val="4D7FC687"/>
    <w:rsid w:val="52CB548A"/>
    <w:rsid w:val="534D55F6"/>
    <w:rsid w:val="557748B3"/>
    <w:rsid w:val="56FFA4E1"/>
    <w:rsid w:val="57030BD5"/>
    <w:rsid w:val="57B6449D"/>
    <w:rsid w:val="57EEEB01"/>
    <w:rsid w:val="59FF2BA1"/>
    <w:rsid w:val="5AAF8B66"/>
    <w:rsid w:val="5BC77DF4"/>
    <w:rsid w:val="5BDCA10A"/>
    <w:rsid w:val="5CECBD75"/>
    <w:rsid w:val="5D6F4D26"/>
    <w:rsid w:val="5D7629E4"/>
    <w:rsid w:val="5D7BFD87"/>
    <w:rsid w:val="5D861C18"/>
    <w:rsid w:val="5DE56B57"/>
    <w:rsid w:val="5E180F83"/>
    <w:rsid w:val="5E66064A"/>
    <w:rsid w:val="5EF7DED5"/>
    <w:rsid w:val="5EFA7CCD"/>
    <w:rsid w:val="5EFD341F"/>
    <w:rsid w:val="5F0F64A4"/>
    <w:rsid w:val="5F5F3A7F"/>
    <w:rsid w:val="5F5FD2B3"/>
    <w:rsid w:val="5FA31690"/>
    <w:rsid w:val="5FCF94F3"/>
    <w:rsid w:val="5FD5AB2A"/>
    <w:rsid w:val="5FDD6CE4"/>
    <w:rsid w:val="5FEB8DA0"/>
    <w:rsid w:val="5FFE2AAA"/>
    <w:rsid w:val="5FFFECEA"/>
    <w:rsid w:val="60771012"/>
    <w:rsid w:val="61F6C642"/>
    <w:rsid w:val="62FF48F3"/>
    <w:rsid w:val="63FFE917"/>
    <w:rsid w:val="65816F97"/>
    <w:rsid w:val="659BC3E4"/>
    <w:rsid w:val="65EB8FF0"/>
    <w:rsid w:val="672F8CDE"/>
    <w:rsid w:val="67FE360B"/>
    <w:rsid w:val="69768676"/>
    <w:rsid w:val="6AADBCB1"/>
    <w:rsid w:val="6C55EBFE"/>
    <w:rsid w:val="6C5BFA11"/>
    <w:rsid w:val="6CF546C4"/>
    <w:rsid w:val="6E1F7E2F"/>
    <w:rsid w:val="6EBE8E15"/>
    <w:rsid w:val="6EEA37CD"/>
    <w:rsid w:val="6F3DB3BF"/>
    <w:rsid w:val="6F411E43"/>
    <w:rsid w:val="6F6FE0C1"/>
    <w:rsid w:val="6F9B4F8C"/>
    <w:rsid w:val="6FB73E82"/>
    <w:rsid w:val="6FDCD221"/>
    <w:rsid w:val="6FDEAD11"/>
    <w:rsid w:val="6FFF5DE9"/>
    <w:rsid w:val="6FFF9DEC"/>
    <w:rsid w:val="71CDE058"/>
    <w:rsid w:val="73FE3F8E"/>
    <w:rsid w:val="76742F30"/>
    <w:rsid w:val="76F7667D"/>
    <w:rsid w:val="779657EF"/>
    <w:rsid w:val="77A47413"/>
    <w:rsid w:val="77FFB22D"/>
    <w:rsid w:val="785915BB"/>
    <w:rsid w:val="79AF65CE"/>
    <w:rsid w:val="7ADFC7C9"/>
    <w:rsid w:val="7B6BCFCC"/>
    <w:rsid w:val="7B7B0B17"/>
    <w:rsid w:val="7BDF22DF"/>
    <w:rsid w:val="7BF62C46"/>
    <w:rsid w:val="7BF937F1"/>
    <w:rsid w:val="7BFB2511"/>
    <w:rsid w:val="7BFB528A"/>
    <w:rsid w:val="7BFBAF98"/>
    <w:rsid w:val="7BFFB55D"/>
    <w:rsid w:val="7CBA0833"/>
    <w:rsid w:val="7CBAE324"/>
    <w:rsid w:val="7CFF265C"/>
    <w:rsid w:val="7D7B976C"/>
    <w:rsid w:val="7D8E676D"/>
    <w:rsid w:val="7DEF5F40"/>
    <w:rsid w:val="7DF78D17"/>
    <w:rsid w:val="7DFF2ECD"/>
    <w:rsid w:val="7DFFF4F7"/>
    <w:rsid w:val="7E3FFE3E"/>
    <w:rsid w:val="7EDD05DD"/>
    <w:rsid w:val="7EDDFCE9"/>
    <w:rsid w:val="7EDF52B5"/>
    <w:rsid w:val="7EEBE078"/>
    <w:rsid w:val="7F6F47C6"/>
    <w:rsid w:val="7F6F7543"/>
    <w:rsid w:val="7F77257F"/>
    <w:rsid w:val="7F7B241B"/>
    <w:rsid w:val="7F7D58EC"/>
    <w:rsid w:val="7F7F1F54"/>
    <w:rsid w:val="7F7F94DE"/>
    <w:rsid w:val="7F8F8634"/>
    <w:rsid w:val="7F9743CE"/>
    <w:rsid w:val="7FAB2556"/>
    <w:rsid w:val="7FBEDE69"/>
    <w:rsid w:val="7FBEEFD5"/>
    <w:rsid w:val="7FBF0046"/>
    <w:rsid w:val="7FCE78B6"/>
    <w:rsid w:val="7FEF2EC7"/>
    <w:rsid w:val="7FEFA504"/>
    <w:rsid w:val="7FF8B266"/>
    <w:rsid w:val="7FFD85ED"/>
    <w:rsid w:val="8FF5C5F1"/>
    <w:rsid w:val="8FFFF42D"/>
    <w:rsid w:val="93F42823"/>
    <w:rsid w:val="9B0F2C19"/>
    <w:rsid w:val="9B3FB13C"/>
    <w:rsid w:val="9D3D3002"/>
    <w:rsid w:val="9D4B5CFF"/>
    <w:rsid w:val="9E671A3E"/>
    <w:rsid w:val="9FB4000F"/>
    <w:rsid w:val="9FDB79A7"/>
    <w:rsid w:val="9FF4E726"/>
    <w:rsid w:val="A77F71E7"/>
    <w:rsid w:val="ABFF85A7"/>
    <w:rsid w:val="AF4955C0"/>
    <w:rsid w:val="AFBC9F31"/>
    <w:rsid w:val="AFDFBDE8"/>
    <w:rsid w:val="B39C9A1B"/>
    <w:rsid w:val="B3FE59A6"/>
    <w:rsid w:val="B6C99DDD"/>
    <w:rsid w:val="B77F34B1"/>
    <w:rsid w:val="B7F25EF9"/>
    <w:rsid w:val="B8F9E1F4"/>
    <w:rsid w:val="BA7B23C6"/>
    <w:rsid w:val="BA7F3F3C"/>
    <w:rsid w:val="BADFDA4B"/>
    <w:rsid w:val="BB7F66BA"/>
    <w:rsid w:val="BCCB34D0"/>
    <w:rsid w:val="BDE6B2B4"/>
    <w:rsid w:val="BDF9B537"/>
    <w:rsid w:val="BDFF2F9A"/>
    <w:rsid w:val="BEFAEF6D"/>
    <w:rsid w:val="BFBAF815"/>
    <w:rsid w:val="BFBDF890"/>
    <w:rsid w:val="BFDC6E5B"/>
    <w:rsid w:val="BFF263CE"/>
    <w:rsid w:val="BFFFBB56"/>
    <w:rsid w:val="BFFFC630"/>
    <w:rsid w:val="C7FD8240"/>
    <w:rsid w:val="C90F35FE"/>
    <w:rsid w:val="C91B13E0"/>
    <w:rsid w:val="CAED3BF3"/>
    <w:rsid w:val="CCF38AE0"/>
    <w:rsid w:val="CDFDDFA4"/>
    <w:rsid w:val="CDFF30A1"/>
    <w:rsid w:val="CE7F8F9F"/>
    <w:rsid w:val="CEEE9806"/>
    <w:rsid w:val="CFDF1B69"/>
    <w:rsid w:val="CFEF5EC4"/>
    <w:rsid w:val="D2DF76FA"/>
    <w:rsid w:val="D4DB2031"/>
    <w:rsid w:val="D7B65234"/>
    <w:rsid w:val="D7BFB69E"/>
    <w:rsid w:val="D9FD4BA2"/>
    <w:rsid w:val="DAFD4421"/>
    <w:rsid w:val="DBAF02D2"/>
    <w:rsid w:val="DDDB9EDC"/>
    <w:rsid w:val="DE4D1DEC"/>
    <w:rsid w:val="DE5BC040"/>
    <w:rsid w:val="DE632274"/>
    <w:rsid w:val="DF1E105E"/>
    <w:rsid w:val="DF7D0F9E"/>
    <w:rsid w:val="DFDF6693"/>
    <w:rsid w:val="DFFE3EEE"/>
    <w:rsid w:val="E573791B"/>
    <w:rsid w:val="E5F71EB3"/>
    <w:rsid w:val="E6FFDA17"/>
    <w:rsid w:val="E7FF2ACB"/>
    <w:rsid w:val="E94E29A8"/>
    <w:rsid w:val="EA878EC5"/>
    <w:rsid w:val="EDDB1F62"/>
    <w:rsid w:val="EE765A35"/>
    <w:rsid w:val="EE7BCF52"/>
    <w:rsid w:val="EEBC00A5"/>
    <w:rsid w:val="EEF4BDB6"/>
    <w:rsid w:val="EF7B25C5"/>
    <w:rsid w:val="EF7FD11C"/>
    <w:rsid w:val="EFF139D6"/>
    <w:rsid w:val="EFFFD39B"/>
    <w:rsid w:val="F0DDCB6B"/>
    <w:rsid w:val="F27B5A11"/>
    <w:rsid w:val="F33FCCBD"/>
    <w:rsid w:val="F3EF21DA"/>
    <w:rsid w:val="F5BB86C8"/>
    <w:rsid w:val="F6751180"/>
    <w:rsid w:val="F6CD77B9"/>
    <w:rsid w:val="F77B3AE1"/>
    <w:rsid w:val="F77EFD24"/>
    <w:rsid w:val="F7FBD651"/>
    <w:rsid w:val="F9BEEB7C"/>
    <w:rsid w:val="F9E38AD8"/>
    <w:rsid w:val="FA476583"/>
    <w:rsid w:val="FB4E1170"/>
    <w:rsid w:val="FBAFA71A"/>
    <w:rsid w:val="FD6F270D"/>
    <w:rsid w:val="FD9BA98C"/>
    <w:rsid w:val="FDBF9625"/>
    <w:rsid w:val="FDF5F418"/>
    <w:rsid w:val="FDFBEA07"/>
    <w:rsid w:val="FDFFCAED"/>
    <w:rsid w:val="FE734873"/>
    <w:rsid w:val="FE7E062D"/>
    <w:rsid w:val="FEDD79EE"/>
    <w:rsid w:val="FEEFC08D"/>
    <w:rsid w:val="FEFF6B83"/>
    <w:rsid w:val="FF3F33D0"/>
    <w:rsid w:val="FF3F4AFC"/>
    <w:rsid w:val="FF7EF2C3"/>
    <w:rsid w:val="FF7F0AF5"/>
    <w:rsid w:val="FF9742DB"/>
    <w:rsid w:val="FFAFC6A1"/>
    <w:rsid w:val="FFB695C0"/>
    <w:rsid w:val="FFBFC74B"/>
    <w:rsid w:val="FFCFA364"/>
    <w:rsid w:val="FFE9464B"/>
    <w:rsid w:val="FFEBCDF2"/>
    <w:rsid w:val="FFFD7301"/>
    <w:rsid w:val="FFFE3501"/>
    <w:rsid w:val="FFFFC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widowControl/>
      <w:spacing w:before="260" w:after="260" w:line="416" w:lineRule="auto"/>
      <w:textAlignment w:val="baseline"/>
    </w:pPr>
    <w:rPr>
      <w:rFonts w:ascii="Arial" w:hAnsi="Arial" w:eastAsia="黑体" w:cs="Times New Roman"/>
      <w:b/>
      <w:bCs/>
      <w:sz w:val="32"/>
      <w:szCs w:val="32"/>
    </w:rPr>
  </w:style>
  <w:style w:type="paragraph" w:styleId="4">
    <w:name w:val="table of authorities"/>
    <w:basedOn w:val="1"/>
    <w:next w:val="1"/>
    <w:semiHidden/>
    <w:unhideWhenUsed/>
    <w:qFormat/>
    <w:uiPriority w:val="99"/>
    <w:pPr>
      <w:ind w:left="420" w:leftChars="200"/>
    </w:pPr>
  </w:style>
  <w:style w:type="paragraph" w:styleId="5">
    <w:name w:val="Body Text"/>
    <w:basedOn w:val="1"/>
    <w:qFormat/>
    <w:uiPriority w:val="0"/>
    <w:rPr>
      <w:rFonts w:ascii="Calibri" w:hAnsi="Calibri" w:eastAsia="宋体"/>
      <w:szCs w:val="24"/>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font61"/>
    <w:basedOn w:val="11"/>
    <w:qFormat/>
    <w:uiPriority w:val="0"/>
    <w:rPr>
      <w:rFonts w:hint="eastAsia" w:ascii="宋体" w:hAnsi="宋体" w:eastAsia="宋体" w:cs="宋体"/>
      <w:color w:val="000000"/>
      <w:sz w:val="20"/>
      <w:szCs w:val="20"/>
      <w:u w:val="none"/>
    </w:rPr>
  </w:style>
  <w:style w:type="character" w:customStyle="1" w:styleId="17">
    <w:name w:val="font11"/>
    <w:basedOn w:val="11"/>
    <w:qFormat/>
    <w:uiPriority w:val="0"/>
    <w:rPr>
      <w:rFonts w:ascii="汉仪大黑简" w:hAnsi="汉仪大黑简" w:eastAsia="汉仪大黑简" w:cs="汉仪大黑简"/>
      <w:color w:val="000000"/>
      <w:sz w:val="20"/>
      <w:szCs w:val="20"/>
      <w:u w:val="none"/>
    </w:rPr>
  </w:style>
  <w:style w:type="character" w:customStyle="1" w:styleId="18">
    <w:name w:val="font01"/>
    <w:basedOn w:val="11"/>
    <w:qFormat/>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10552</Words>
  <Characters>12529</Characters>
  <Lines>63</Lines>
  <Paragraphs>17</Paragraphs>
  <TotalTime>1</TotalTime>
  <ScaleCrop>false</ScaleCrop>
  <LinksUpToDate>false</LinksUpToDate>
  <CharactersWithSpaces>12967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2022-08-20T01:13:00Z</dcterms:created>
  <dc:creator>GQ</dc:creator>
  <cp:lastModifiedBy>user</cp:lastModifiedBy>
  <dcterms:modified xsi:type="dcterms:W3CDTF">2023-04-23T13:54:27Z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02647765516C4772A93327A73081B411</vt:lpwstr>
  </property>
</Properties>
</file>